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09E2" w14:textId="1B36BD27" w:rsidR="00CA10BB" w:rsidRPr="00CA10BB" w:rsidRDefault="00CA10BB" w:rsidP="00CA10BB">
      <w:pPr>
        <w:spacing w:after="0" w:line="240" w:lineRule="auto"/>
        <w:jc w:val="center"/>
        <w:rPr>
          <w:b/>
          <w:bCs/>
        </w:rPr>
      </w:pPr>
      <w:r w:rsidRPr="00CA10BB">
        <w:rPr>
          <w:b/>
          <w:bCs/>
        </w:rPr>
        <w:t>John Smith</w:t>
      </w:r>
    </w:p>
    <w:p w14:paraId="12BD04ED" w14:textId="03ACE76C" w:rsidR="00CA10BB" w:rsidRPr="00CA10BB" w:rsidRDefault="00CA10BB" w:rsidP="003E703C">
      <w:pPr>
        <w:spacing w:after="0"/>
        <w:jc w:val="center"/>
        <w:rPr>
          <w:i/>
          <w:iCs/>
        </w:rPr>
      </w:pPr>
      <w:r w:rsidRPr="00CA10BB">
        <w:rPr>
          <w:i/>
          <w:iCs/>
        </w:rPr>
        <w:t>Superintendent</w:t>
      </w:r>
    </w:p>
    <w:p w14:paraId="732F4595" w14:textId="08420218" w:rsidR="00CA56C8" w:rsidRDefault="003751B6" w:rsidP="003E703C">
      <w:r>
        <w:t>September 4</w:t>
      </w:r>
      <w:r w:rsidR="00312B6A">
        <w:t>, 2021</w:t>
      </w:r>
    </w:p>
    <w:p w14:paraId="18940706" w14:textId="77777777" w:rsidR="00FE5431" w:rsidRPr="00D74033" w:rsidRDefault="00FE5431" w:rsidP="00FE5431">
      <w:pPr>
        <w:pStyle w:val="Default"/>
        <w:rPr>
          <w:rFonts w:asciiTheme="minorHAnsi" w:hAnsiTheme="minorHAnsi" w:cstheme="minorHAnsi"/>
          <w:sz w:val="22"/>
          <w:szCs w:val="22"/>
        </w:rPr>
      </w:pPr>
      <w:r>
        <w:rPr>
          <w:rFonts w:asciiTheme="minorHAnsi" w:hAnsiTheme="minorHAnsi" w:cstheme="minorHAnsi"/>
          <w:sz w:val="22"/>
          <w:szCs w:val="22"/>
        </w:rPr>
        <w:t>Dr. Deann Collins</w:t>
      </w:r>
    </w:p>
    <w:p w14:paraId="01DE38BE" w14:textId="77777777" w:rsidR="00FE5431" w:rsidRPr="00D74033" w:rsidRDefault="00FE5431" w:rsidP="00FE5431">
      <w:pPr>
        <w:pStyle w:val="Default"/>
        <w:rPr>
          <w:rFonts w:asciiTheme="minorHAnsi" w:hAnsiTheme="minorHAnsi" w:cstheme="minorHAnsi"/>
          <w:sz w:val="22"/>
          <w:szCs w:val="22"/>
        </w:rPr>
      </w:pPr>
      <w:r>
        <w:rPr>
          <w:rFonts w:asciiTheme="minorHAnsi" w:hAnsiTheme="minorHAnsi" w:cstheme="minorHAnsi"/>
          <w:sz w:val="22"/>
          <w:szCs w:val="22"/>
        </w:rPr>
        <w:t>Deputy State Superintendent of Teaching and Learning</w:t>
      </w:r>
    </w:p>
    <w:p w14:paraId="4533700B" w14:textId="77777777" w:rsidR="00FE5431" w:rsidRPr="00D74033" w:rsidRDefault="00FE5431" w:rsidP="00FE5431">
      <w:pPr>
        <w:pStyle w:val="Default"/>
        <w:rPr>
          <w:rFonts w:asciiTheme="minorHAnsi" w:hAnsiTheme="minorHAnsi" w:cstheme="minorHAnsi"/>
          <w:sz w:val="22"/>
          <w:szCs w:val="22"/>
        </w:rPr>
      </w:pPr>
      <w:r w:rsidRPr="00D74033">
        <w:rPr>
          <w:rFonts w:asciiTheme="minorHAnsi" w:hAnsiTheme="minorHAnsi" w:cstheme="minorHAnsi"/>
          <w:sz w:val="22"/>
          <w:szCs w:val="22"/>
        </w:rPr>
        <w:t xml:space="preserve">Maryland State Department of Education </w:t>
      </w:r>
    </w:p>
    <w:p w14:paraId="615E377A" w14:textId="77777777" w:rsidR="00FE5431" w:rsidRPr="00D74033" w:rsidRDefault="00FE5431" w:rsidP="00FE5431">
      <w:pPr>
        <w:pStyle w:val="Default"/>
        <w:rPr>
          <w:rFonts w:asciiTheme="minorHAnsi" w:hAnsiTheme="minorHAnsi" w:cstheme="minorHAnsi"/>
          <w:sz w:val="22"/>
          <w:szCs w:val="22"/>
        </w:rPr>
      </w:pPr>
      <w:r w:rsidRPr="00D74033">
        <w:rPr>
          <w:rFonts w:asciiTheme="minorHAnsi" w:hAnsiTheme="minorHAnsi" w:cstheme="minorHAnsi"/>
          <w:sz w:val="22"/>
          <w:szCs w:val="22"/>
        </w:rPr>
        <w:t xml:space="preserve">200 W. Baltimore Street </w:t>
      </w:r>
    </w:p>
    <w:p w14:paraId="76834039" w14:textId="77777777" w:rsidR="00FE5431" w:rsidRPr="002E60EA" w:rsidRDefault="00FE5431" w:rsidP="00FE5431">
      <w:pPr>
        <w:spacing w:after="220"/>
        <w:rPr>
          <w:rFonts w:cstheme="minorHAnsi"/>
        </w:rPr>
      </w:pPr>
      <w:r w:rsidRPr="002E60EA">
        <w:rPr>
          <w:rFonts w:cstheme="minorHAnsi"/>
        </w:rPr>
        <w:t>Baltimore, MD 21201</w:t>
      </w:r>
    </w:p>
    <w:p w14:paraId="2443C30B" w14:textId="77777777" w:rsidR="00FE5431" w:rsidRPr="00D74033" w:rsidRDefault="00FE5431" w:rsidP="00FE5431">
      <w:pPr>
        <w:pStyle w:val="Default"/>
        <w:spacing w:after="220"/>
        <w:rPr>
          <w:rFonts w:asciiTheme="minorHAnsi" w:hAnsiTheme="minorHAnsi" w:cstheme="minorHAnsi"/>
          <w:sz w:val="22"/>
          <w:szCs w:val="22"/>
        </w:rPr>
      </w:pPr>
      <w:r w:rsidRPr="00D74033">
        <w:rPr>
          <w:rFonts w:asciiTheme="minorHAnsi" w:hAnsiTheme="minorHAnsi" w:cstheme="minorHAnsi"/>
          <w:sz w:val="22"/>
          <w:szCs w:val="22"/>
        </w:rPr>
        <w:t>Dear</w:t>
      </w:r>
      <w:r>
        <w:rPr>
          <w:rFonts w:asciiTheme="minorHAnsi" w:hAnsiTheme="minorHAnsi" w:cstheme="minorHAnsi"/>
          <w:sz w:val="22"/>
          <w:szCs w:val="22"/>
        </w:rPr>
        <w:t xml:space="preserve"> Dr. Collins</w:t>
      </w:r>
      <w:r w:rsidRPr="00D74033">
        <w:rPr>
          <w:rFonts w:asciiTheme="minorHAnsi" w:hAnsiTheme="minorHAnsi" w:cstheme="minorHAnsi"/>
          <w:sz w:val="22"/>
          <w:szCs w:val="22"/>
        </w:rPr>
        <w:t>:</w:t>
      </w:r>
    </w:p>
    <w:p w14:paraId="7D66A640" w14:textId="77A5DEAB" w:rsidR="00DB2E8C" w:rsidRDefault="008C2C22" w:rsidP="003E703C">
      <w:r>
        <w:t xml:space="preserve">This letter is to inform you that the </w:t>
      </w:r>
      <w:r w:rsidR="00312B6A">
        <w:t>202</w:t>
      </w:r>
      <w:r w:rsidR="00FE5431">
        <w:t>1</w:t>
      </w:r>
      <w:r w:rsidR="00312B6A">
        <w:t>-202</w:t>
      </w:r>
      <w:r w:rsidR="00FE5431">
        <w:t>2</w:t>
      </w:r>
      <w:r>
        <w:t xml:space="preserve"> </w:t>
      </w:r>
      <w:r w:rsidR="007200DE">
        <w:t>Principal</w:t>
      </w:r>
      <w:r>
        <w:t xml:space="preserve"> Effectiveness Evaluation results for </w:t>
      </w:r>
      <w:r w:rsidR="00312B6A">
        <w:t>Everywhere County Public Schools</w:t>
      </w:r>
      <w:r>
        <w:t xml:space="preserve"> </w:t>
      </w:r>
      <w:r w:rsidR="00897937">
        <w:t>was</w:t>
      </w:r>
      <w:r>
        <w:t xml:space="preserve"> uploaded to the designated Maryland State Department of Education (MSDE) server. The information below will provide important context for these results.</w:t>
      </w:r>
    </w:p>
    <w:p w14:paraId="6604DE1B" w14:textId="61B17CDE" w:rsidR="00022124" w:rsidRDefault="00022124" w:rsidP="003E703C">
      <w:r>
        <w:t xml:space="preserve">Following </w:t>
      </w:r>
      <w:r w:rsidR="00006036">
        <w:t>the guidance outlined in the data collection manual</w:t>
      </w:r>
      <w:r>
        <w:t xml:space="preserve">, the uploaded results include </w:t>
      </w:r>
      <w:r w:rsidR="00897937">
        <w:t>s</w:t>
      </w:r>
      <w:r>
        <w:t xml:space="preserve">tudent </w:t>
      </w:r>
      <w:r w:rsidR="00897937">
        <w:t>g</w:t>
      </w:r>
      <w:r>
        <w:t xml:space="preserve">rowth measures </w:t>
      </w:r>
      <w:r w:rsidR="00897937">
        <w:t xml:space="preserve">weighted at </w:t>
      </w:r>
      <w:r w:rsidR="00312B6A">
        <w:t>30</w:t>
      </w:r>
      <w:r>
        <w:t xml:space="preserve">% and </w:t>
      </w:r>
      <w:r w:rsidR="00897937">
        <w:t>p</w:t>
      </w:r>
      <w:r>
        <w:t xml:space="preserve">rofessional </w:t>
      </w:r>
      <w:r w:rsidR="00897937">
        <w:t>p</w:t>
      </w:r>
      <w:r>
        <w:t xml:space="preserve">ractice measures </w:t>
      </w:r>
      <w:r w:rsidR="00897937">
        <w:t xml:space="preserve">weighted at </w:t>
      </w:r>
      <w:r w:rsidR="00312B6A">
        <w:t>70</w:t>
      </w:r>
      <w:r>
        <w:t xml:space="preserve">%. </w:t>
      </w:r>
      <w:r w:rsidR="00006036">
        <w:t>The evaluation of p</w:t>
      </w:r>
      <w:r w:rsidR="000D246B">
        <w:t xml:space="preserve">rofessional practice </w:t>
      </w:r>
      <w:r w:rsidR="00006036">
        <w:t>was</w:t>
      </w:r>
      <w:r w:rsidR="000D246B">
        <w:t xml:space="preserve"> conducted according to</w:t>
      </w:r>
      <w:r>
        <w:t xml:space="preserve"> the </w:t>
      </w:r>
      <w:r w:rsidR="007200DE">
        <w:t>Professional Standards for Educational Leaders</w:t>
      </w:r>
      <w:r>
        <w:t>.</w:t>
      </w:r>
    </w:p>
    <w:p w14:paraId="63C9B18F" w14:textId="01CF985F" w:rsidR="008C2C22" w:rsidRDefault="008C2C22" w:rsidP="003E703C">
      <w:r>
        <w:t xml:space="preserve">Our </w:t>
      </w:r>
      <w:r w:rsidR="00CF4ED4">
        <w:t xml:space="preserve">school </w:t>
      </w:r>
      <w:r>
        <w:t xml:space="preserve">system has </w:t>
      </w:r>
      <w:r w:rsidR="00312B6A">
        <w:t xml:space="preserve">included the </w:t>
      </w:r>
      <w:r w:rsidR="007200DE">
        <w:t>10</w:t>
      </w:r>
      <w:r w:rsidR="00312B6A">
        <w:t xml:space="preserve"> </w:t>
      </w:r>
      <w:r w:rsidR="007200DE">
        <w:t>principals</w:t>
      </w:r>
      <w:r w:rsidR="00312B6A">
        <w:t xml:space="preserve"> </w:t>
      </w:r>
      <w:r w:rsidR="007200DE">
        <w:t>and assistant principals</w:t>
      </w:r>
      <w:r w:rsidR="00DB2E8C">
        <w:t xml:space="preserve"> </w:t>
      </w:r>
      <w:r w:rsidR="003F1F38">
        <w:t xml:space="preserve">who </w:t>
      </w:r>
      <w:r w:rsidR="00DB2E8C">
        <w:t xml:space="preserve">were not </w:t>
      </w:r>
      <w:r w:rsidR="00CA10BB">
        <w:t xml:space="preserve">fully </w:t>
      </w:r>
      <w:r w:rsidR="00DB2E8C">
        <w:t xml:space="preserve">evaluated </w:t>
      </w:r>
      <w:r w:rsidR="00CA10BB">
        <w:t>and thus do</w:t>
      </w:r>
      <w:r w:rsidR="003B068B">
        <w:t xml:space="preserve"> </w:t>
      </w:r>
      <w:r w:rsidR="00CA10BB">
        <w:t>n</w:t>
      </w:r>
      <w:r w:rsidR="003B068B">
        <w:t>o</w:t>
      </w:r>
      <w:r w:rsidR="00CA10BB">
        <w:t xml:space="preserve">t have a total rating </w:t>
      </w:r>
      <w:r w:rsidR="00DB2E8C">
        <w:t xml:space="preserve">due to </w:t>
      </w:r>
      <w:r w:rsidR="00312B6A">
        <w:t>administrative leave (</w:t>
      </w:r>
      <w:r w:rsidR="007200DE">
        <w:t>3</w:t>
      </w:r>
      <w:r w:rsidR="00312B6A">
        <w:t>), starting too late in the year to complete the requisite number of observations (3), leaving employment with the school system before the ending of the school year (</w:t>
      </w:r>
      <w:r w:rsidR="007200DE">
        <w:t>3</w:t>
      </w:r>
      <w:r w:rsidR="00312B6A">
        <w:t>)</w:t>
      </w:r>
      <w:r w:rsidR="007200DE">
        <w:t>, and changing position within the school system during the year (1)</w:t>
      </w:r>
      <w:r w:rsidR="00DB2E8C">
        <w:t xml:space="preserve">. </w:t>
      </w:r>
    </w:p>
    <w:p w14:paraId="7CB172B2" w14:textId="1B3D1A18" w:rsidR="00E15482" w:rsidRDefault="00E15482" w:rsidP="003E703C">
      <w:r>
        <w:t>Principals in our data who have a “N” for Professional Practice year, have the professional practice scores from their prior observation cycle. Any principals who do not have their total model points add up to 100 have an “N” and their prior professional practice scores were not included in their evaluation data for this school year. Five of our principals have an</w:t>
      </w:r>
      <w:r w:rsidR="00FE5431">
        <w:t xml:space="preserve"> evaluator</w:t>
      </w:r>
      <w:r>
        <w:t xml:space="preserve"> assignment </w:t>
      </w:r>
      <w:r w:rsidR="00FE5431">
        <w:t xml:space="preserve">code </w:t>
      </w:r>
      <w:r>
        <w:t xml:space="preserve">equal to 5-Other, these principals </w:t>
      </w:r>
      <w:r w:rsidR="00FE5431">
        <w:t xml:space="preserve">were observed as part of a peer process. </w:t>
      </w:r>
      <w:r>
        <w:t xml:space="preserve">Any cells that do not have data and are not filled with NULL, are information that we meant to collect for that principal but were unable to collect.  </w:t>
      </w:r>
    </w:p>
    <w:p w14:paraId="4BADAF8A" w14:textId="77777777" w:rsidR="001532EF" w:rsidRDefault="001532EF" w:rsidP="00006036">
      <w:pPr>
        <w:spacing w:after="0"/>
      </w:pPr>
      <w:r>
        <w:t xml:space="preserve">Our </w:t>
      </w:r>
      <w:r w:rsidR="00CF4ED4">
        <w:t xml:space="preserve">school </w:t>
      </w:r>
      <w:r>
        <w:t xml:space="preserve">system </w:t>
      </w:r>
      <w:r w:rsidR="000D246B">
        <w:t>utilized</w:t>
      </w:r>
      <w:r>
        <w:t xml:space="preserve"> the following cut scores for our effectiveness ratings:</w:t>
      </w:r>
    </w:p>
    <w:tbl>
      <w:tblPr>
        <w:tblStyle w:val="TableGrid"/>
        <w:tblW w:w="0" w:type="auto"/>
        <w:tblLook w:val="04A0" w:firstRow="1" w:lastRow="0" w:firstColumn="1" w:lastColumn="0" w:noHBand="0" w:noVBand="1"/>
        <w:tblCaption w:val="Effectiveness Rating Cut Scores"/>
      </w:tblPr>
      <w:tblGrid>
        <w:gridCol w:w="2337"/>
        <w:gridCol w:w="2337"/>
        <w:gridCol w:w="2338"/>
        <w:gridCol w:w="2338"/>
      </w:tblGrid>
      <w:tr w:rsidR="001532EF" w14:paraId="483A599D" w14:textId="77777777" w:rsidTr="001532EF">
        <w:tc>
          <w:tcPr>
            <w:tcW w:w="2337" w:type="dxa"/>
          </w:tcPr>
          <w:p w14:paraId="61340CE2" w14:textId="77777777" w:rsidR="001532EF" w:rsidRDefault="001532EF" w:rsidP="008C2C22">
            <w:r>
              <w:t>Rating</w:t>
            </w:r>
          </w:p>
        </w:tc>
        <w:tc>
          <w:tcPr>
            <w:tcW w:w="2337" w:type="dxa"/>
          </w:tcPr>
          <w:p w14:paraId="24DF2C72" w14:textId="77777777" w:rsidR="001532EF" w:rsidRDefault="001532EF" w:rsidP="008C2C22">
            <w:r>
              <w:t>Professional Practice Minimum Cut Score</w:t>
            </w:r>
          </w:p>
        </w:tc>
        <w:tc>
          <w:tcPr>
            <w:tcW w:w="2338" w:type="dxa"/>
          </w:tcPr>
          <w:p w14:paraId="20B8CBEF" w14:textId="2C063622" w:rsidR="001532EF" w:rsidRDefault="001532EF" w:rsidP="00006036">
            <w:r>
              <w:t>Student Growth Minimum</w:t>
            </w:r>
            <w:r w:rsidR="00006036">
              <w:t xml:space="preserve"> Cut</w:t>
            </w:r>
            <w:r>
              <w:t xml:space="preserve"> Score</w:t>
            </w:r>
          </w:p>
        </w:tc>
        <w:tc>
          <w:tcPr>
            <w:tcW w:w="2338" w:type="dxa"/>
          </w:tcPr>
          <w:p w14:paraId="6C746457" w14:textId="5DED97B8" w:rsidR="001532EF" w:rsidRDefault="001532EF" w:rsidP="00006036">
            <w:r>
              <w:t xml:space="preserve">Total Effectiveness Minimum </w:t>
            </w:r>
            <w:r w:rsidR="00006036">
              <w:t xml:space="preserve">Cut </w:t>
            </w:r>
            <w:r>
              <w:t>Score</w:t>
            </w:r>
          </w:p>
        </w:tc>
      </w:tr>
      <w:tr w:rsidR="001532EF" w14:paraId="1BF64267" w14:textId="77777777" w:rsidTr="001532EF">
        <w:tc>
          <w:tcPr>
            <w:tcW w:w="2337" w:type="dxa"/>
          </w:tcPr>
          <w:p w14:paraId="018CA731" w14:textId="77777777" w:rsidR="001532EF" w:rsidRDefault="001532EF" w:rsidP="008C2C22">
            <w:r>
              <w:t>Highly Effective</w:t>
            </w:r>
          </w:p>
        </w:tc>
        <w:tc>
          <w:tcPr>
            <w:tcW w:w="2337" w:type="dxa"/>
          </w:tcPr>
          <w:p w14:paraId="0BF6BD66" w14:textId="05712773" w:rsidR="001532EF" w:rsidRDefault="007200DE" w:rsidP="008C2C22">
            <w:r>
              <w:t>65</w:t>
            </w:r>
          </w:p>
        </w:tc>
        <w:tc>
          <w:tcPr>
            <w:tcW w:w="2338" w:type="dxa"/>
          </w:tcPr>
          <w:p w14:paraId="13CCA72F" w14:textId="4CFC5957" w:rsidR="001532EF" w:rsidRDefault="00CA10BB" w:rsidP="008C2C22">
            <w:r>
              <w:t>2</w:t>
            </w:r>
            <w:r w:rsidR="007200DE">
              <w:t>5</w:t>
            </w:r>
          </w:p>
        </w:tc>
        <w:tc>
          <w:tcPr>
            <w:tcW w:w="2338" w:type="dxa"/>
          </w:tcPr>
          <w:p w14:paraId="2D366CBC" w14:textId="43306A22" w:rsidR="001532EF" w:rsidRDefault="007200DE" w:rsidP="008C2C22">
            <w:r>
              <w:t>90</w:t>
            </w:r>
          </w:p>
        </w:tc>
      </w:tr>
      <w:tr w:rsidR="001532EF" w14:paraId="243C0287" w14:textId="77777777" w:rsidTr="003F1F38">
        <w:tc>
          <w:tcPr>
            <w:tcW w:w="2337" w:type="dxa"/>
            <w:tcBorders>
              <w:bottom w:val="single" w:sz="4" w:space="0" w:color="auto"/>
            </w:tcBorders>
          </w:tcPr>
          <w:p w14:paraId="515E19EF" w14:textId="77777777" w:rsidR="001532EF" w:rsidRDefault="001532EF" w:rsidP="008C2C22">
            <w:r>
              <w:t>Effective</w:t>
            </w:r>
          </w:p>
        </w:tc>
        <w:tc>
          <w:tcPr>
            <w:tcW w:w="2337" w:type="dxa"/>
            <w:tcBorders>
              <w:bottom w:val="single" w:sz="4" w:space="0" w:color="auto"/>
            </w:tcBorders>
          </w:tcPr>
          <w:p w14:paraId="2215C3F9" w14:textId="32AE29EF" w:rsidR="001532EF" w:rsidRDefault="007200DE" w:rsidP="008C2C22">
            <w:r>
              <w:t>60</w:t>
            </w:r>
          </w:p>
        </w:tc>
        <w:tc>
          <w:tcPr>
            <w:tcW w:w="2338" w:type="dxa"/>
            <w:tcBorders>
              <w:bottom w:val="single" w:sz="4" w:space="0" w:color="auto"/>
            </w:tcBorders>
          </w:tcPr>
          <w:p w14:paraId="380BF708" w14:textId="3DB833A0" w:rsidR="001532EF" w:rsidRDefault="00CA10BB" w:rsidP="008C2C22">
            <w:r>
              <w:t>15</w:t>
            </w:r>
          </w:p>
        </w:tc>
        <w:tc>
          <w:tcPr>
            <w:tcW w:w="2338" w:type="dxa"/>
            <w:tcBorders>
              <w:bottom w:val="single" w:sz="4" w:space="0" w:color="auto"/>
            </w:tcBorders>
          </w:tcPr>
          <w:p w14:paraId="3E10C400" w14:textId="37878CE3" w:rsidR="001532EF" w:rsidRDefault="007200DE" w:rsidP="008C2C22">
            <w:r>
              <w:t>7</w:t>
            </w:r>
            <w:r w:rsidR="00CA10BB">
              <w:t>5</w:t>
            </w:r>
          </w:p>
        </w:tc>
      </w:tr>
      <w:tr w:rsidR="001532EF" w14:paraId="4DEF322D" w14:textId="77777777" w:rsidTr="000D246B">
        <w:tc>
          <w:tcPr>
            <w:tcW w:w="2337" w:type="dxa"/>
          </w:tcPr>
          <w:p w14:paraId="2D39B64F" w14:textId="77777777" w:rsidR="001532EF" w:rsidRDefault="001532EF" w:rsidP="008C2C22">
            <w:r>
              <w:t>Developing</w:t>
            </w:r>
          </w:p>
        </w:tc>
        <w:tc>
          <w:tcPr>
            <w:tcW w:w="2337" w:type="dxa"/>
          </w:tcPr>
          <w:p w14:paraId="1A13B032" w14:textId="1163026C" w:rsidR="001532EF" w:rsidRDefault="007200DE" w:rsidP="008C2C22">
            <w:r>
              <w:t>5</w:t>
            </w:r>
            <w:r w:rsidR="00CA10BB">
              <w:t>0</w:t>
            </w:r>
          </w:p>
        </w:tc>
        <w:tc>
          <w:tcPr>
            <w:tcW w:w="2338" w:type="dxa"/>
          </w:tcPr>
          <w:p w14:paraId="005B2A30" w14:textId="16D47668" w:rsidR="001532EF" w:rsidRDefault="00CA10BB" w:rsidP="008C2C22">
            <w:r>
              <w:t>15</w:t>
            </w:r>
          </w:p>
        </w:tc>
        <w:tc>
          <w:tcPr>
            <w:tcW w:w="2338" w:type="dxa"/>
          </w:tcPr>
          <w:p w14:paraId="446E1382" w14:textId="1A554292" w:rsidR="001532EF" w:rsidRDefault="007200DE" w:rsidP="008C2C22">
            <w:r>
              <w:t>6</w:t>
            </w:r>
            <w:r w:rsidR="00CA10BB">
              <w:t>5</w:t>
            </w:r>
          </w:p>
        </w:tc>
      </w:tr>
      <w:tr w:rsidR="000D246B" w14:paraId="6AB15DB3" w14:textId="77777777" w:rsidTr="003F1F38">
        <w:tc>
          <w:tcPr>
            <w:tcW w:w="2337" w:type="dxa"/>
            <w:tcBorders>
              <w:bottom w:val="single" w:sz="4" w:space="0" w:color="auto"/>
            </w:tcBorders>
          </w:tcPr>
          <w:p w14:paraId="6C64C94D" w14:textId="77777777" w:rsidR="000D246B" w:rsidRDefault="000D246B" w:rsidP="008C2C22">
            <w:r>
              <w:t>Ineffective</w:t>
            </w:r>
          </w:p>
        </w:tc>
        <w:tc>
          <w:tcPr>
            <w:tcW w:w="2337" w:type="dxa"/>
            <w:tcBorders>
              <w:bottom w:val="single" w:sz="4" w:space="0" w:color="auto"/>
            </w:tcBorders>
          </w:tcPr>
          <w:p w14:paraId="718B90D2" w14:textId="23D336E1" w:rsidR="000D246B" w:rsidRDefault="00CA10BB" w:rsidP="008C2C22">
            <w:r>
              <w:t>0</w:t>
            </w:r>
          </w:p>
        </w:tc>
        <w:tc>
          <w:tcPr>
            <w:tcW w:w="2338" w:type="dxa"/>
            <w:tcBorders>
              <w:bottom w:val="single" w:sz="4" w:space="0" w:color="auto"/>
            </w:tcBorders>
          </w:tcPr>
          <w:p w14:paraId="123FC041" w14:textId="78ED12A7" w:rsidR="000D246B" w:rsidRDefault="00CA10BB" w:rsidP="008C2C22">
            <w:r>
              <w:t>0</w:t>
            </w:r>
          </w:p>
        </w:tc>
        <w:tc>
          <w:tcPr>
            <w:tcW w:w="2338" w:type="dxa"/>
            <w:tcBorders>
              <w:bottom w:val="single" w:sz="4" w:space="0" w:color="auto"/>
            </w:tcBorders>
          </w:tcPr>
          <w:p w14:paraId="32BF29BF" w14:textId="39F1845C" w:rsidR="000D246B" w:rsidRDefault="00CA10BB" w:rsidP="008C2C22">
            <w:r>
              <w:t>0</w:t>
            </w:r>
          </w:p>
        </w:tc>
      </w:tr>
    </w:tbl>
    <w:p w14:paraId="7901752D" w14:textId="69183B8D" w:rsidR="00B474B9" w:rsidRDefault="00B474B9" w:rsidP="003E703C">
      <w:pPr>
        <w:spacing w:before="100" w:after="200"/>
      </w:pPr>
      <w:r>
        <w:t xml:space="preserve">If you have any questions, please contact </w:t>
      </w:r>
      <w:r w:rsidR="00381E56">
        <w:t>“Data Contact’s Email</w:t>
      </w:r>
      <w:r w:rsidR="00897937">
        <w:t>”</w:t>
      </w:r>
      <w:r>
        <w:t xml:space="preserve">. </w:t>
      </w:r>
    </w:p>
    <w:p w14:paraId="47F93150" w14:textId="77777777" w:rsidR="00B474B9" w:rsidRDefault="00B474B9" w:rsidP="00B474B9">
      <w:pPr>
        <w:spacing w:after="0"/>
      </w:pPr>
      <w:r>
        <w:t>Sincerely,</w:t>
      </w:r>
    </w:p>
    <w:p w14:paraId="41662490" w14:textId="7F976C17" w:rsidR="00CA10BB" w:rsidRDefault="00CA10BB" w:rsidP="00B474B9">
      <w:pPr>
        <w:spacing w:after="0"/>
      </w:pPr>
      <w:r>
        <w:rPr>
          <w:noProof/>
        </w:rPr>
        <w:drawing>
          <wp:inline distT="0" distB="0" distL="0" distR="0" wp14:anchorId="32CB36F0" wp14:editId="0D163BC8">
            <wp:extent cx="835003" cy="2743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003" cy="274320"/>
                    </a:xfrm>
                    <a:prstGeom prst="rect">
                      <a:avLst/>
                    </a:prstGeom>
                    <a:noFill/>
                    <a:ln>
                      <a:noFill/>
                    </a:ln>
                  </pic:spPr>
                </pic:pic>
              </a:graphicData>
            </a:graphic>
          </wp:inline>
        </w:drawing>
      </w:r>
    </w:p>
    <w:p w14:paraId="2F65D43A" w14:textId="3102543B" w:rsidR="00C533F8" w:rsidRDefault="00CA10BB" w:rsidP="00B474B9">
      <w:pPr>
        <w:spacing w:after="0"/>
      </w:pPr>
      <w:r>
        <w:t>Datally Contact</w:t>
      </w:r>
    </w:p>
    <w:p w14:paraId="708B84B7" w14:textId="4824DE9B" w:rsidR="00EF7BEE" w:rsidRDefault="00CA10BB" w:rsidP="00B474B9">
      <w:pPr>
        <w:spacing w:after="0"/>
      </w:pPr>
      <w:r>
        <w:t>Executive Director of Evaluation Data</w:t>
      </w:r>
    </w:p>
    <w:p w14:paraId="336F63E8" w14:textId="48B87F94" w:rsidR="00EF7BEE" w:rsidRDefault="00CA10BB" w:rsidP="00B474B9">
      <w:r>
        <w:t>Everywhere County Public Schools</w:t>
      </w:r>
    </w:p>
    <w:p w14:paraId="535885D6" w14:textId="77777777" w:rsidR="00B474B9" w:rsidRDefault="00B474B9" w:rsidP="00B474B9">
      <w:pPr>
        <w:autoSpaceDE w:val="0"/>
        <w:autoSpaceDN w:val="0"/>
        <w:adjustRightInd w:val="0"/>
        <w:spacing w:after="200" w:line="240" w:lineRule="auto"/>
        <w:rPr>
          <w:rFonts w:ascii="Calibri" w:hAnsi="Calibri" w:cs="Calibri"/>
          <w:color w:val="000000"/>
          <w:sz w:val="24"/>
          <w:szCs w:val="24"/>
        </w:rPr>
        <w:sectPr w:rsidR="00B474B9" w:rsidSect="003E703C">
          <w:headerReference w:type="default" r:id="rId8"/>
          <w:footerReference w:type="default" r:id="rId9"/>
          <w:pgSz w:w="12240" w:h="15840"/>
          <w:pgMar w:top="1440" w:right="1440" w:bottom="1440" w:left="1440" w:header="360" w:footer="360" w:gutter="0"/>
          <w:cols w:space="720"/>
          <w:docGrid w:linePitch="360"/>
        </w:sectPr>
      </w:pPr>
    </w:p>
    <w:p w14:paraId="3F480846" w14:textId="77777777" w:rsidR="00897937" w:rsidRPr="003544F7" w:rsidRDefault="00897937" w:rsidP="00897937">
      <w:pPr>
        <w:autoSpaceDE w:val="0"/>
        <w:autoSpaceDN w:val="0"/>
        <w:adjustRightInd w:val="0"/>
        <w:spacing w:after="1400" w:line="240" w:lineRule="auto"/>
        <w:rPr>
          <w:rFonts w:cstheme="minorHAnsi"/>
          <w:color w:val="000000"/>
        </w:rPr>
      </w:pPr>
      <w:r w:rsidRPr="003544F7">
        <w:rPr>
          <w:rFonts w:cstheme="minorHAnsi"/>
          <w:color w:val="000000"/>
        </w:rPr>
        <w:t>CC:</w:t>
      </w:r>
    </w:p>
    <w:p w14:paraId="49723AEC" w14:textId="77777777" w:rsidR="00897937" w:rsidRPr="003544F7" w:rsidRDefault="00897937" w:rsidP="00897937">
      <w:pPr>
        <w:autoSpaceDE w:val="0"/>
        <w:autoSpaceDN w:val="0"/>
        <w:adjustRightInd w:val="0"/>
        <w:spacing w:after="0" w:line="240" w:lineRule="auto"/>
        <w:rPr>
          <w:rFonts w:cstheme="minorHAnsi"/>
          <w:color w:val="000000"/>
        </w:rPr>
      </w:pPr>
      <w:r w:rsidRPr="003544F7">
        <w:rPr>
          <w:rFonts w:cstheme="minorHAnsi"/>
          <w:color w:val="000000"/>
        </w:rPr>
        <w:lastRenderedPageBreak/>
        <w:t xml:space="preserve">Katherine Stewart, Ph.D.  </w:t>
      </w:r>
      <w:r w:rsidRPr="003544F7">
        <w:rPr>
          <w:rFonts w:cstheme="minorHAnsi"/>
          <w:color w:val="000000"/>
        </w:rPr>
        <w:t>Acting Coordinator of Data and Accountability, Office of Leadership Development and School Improvement, Maryland State Department of Education</w:t>
      </w:r>
    </w:p>
    <w:p w14:paraId="3E4B533D" w14:textId="77777777" w:rsidR="00897937" w:rsidRPr="003544F7" w:rsidRDefault="00897937" w:rsidP="00897937">
      <w:pPr>
        <w:autoSpaceDE w:val="0"/>
        <w:autoSpaceDN w:val="0"/>
        <w:adjustRightInd w:val="0"/>
        <w:spacing w:after="0" w:line="240" w:lineRule="auto"/>
        <w:rPr>
          <w:rFonts w:ascii="Calibri" w:hAnsi="Calibri" w:cs="Calibri"/>
          <w:color w:val="000000"/>
        </w:rPr>
      </w:pPr>
      <w:r w:rsidRPr="003544F7">
        <w:rPr>
          <w:rFonts w:ascii="Calibri" w:hAnsi="Calibri" w:cs="Calibri"/>
          <w:color w:val="000000"/>
        </w:rPr>
        <w:t>Lori Ellis, Coordinator of Leadership Development, Office of Leadership Development and School Improvement, Maryland State Department of Education</w:t>
      </w:r>
    </w:p>
    <w:p w14:paraId="001590D0" w14:textId="77777777" w:rsidR="00897937" w:rsidRDefault="00897937" w:rsidP="00897937">
      <w:pPr>
        <w:autoSpaceDE w:val="0"/>
        <w:autoSpaceDN w:val="0"/>
        <w:adjustRightInd w:val="0"/>
        <w:spacing w:after="0" w:line="240" w:lineRule="auto"/>
        <w:rPr>
          <w:rFonts w:ascii="Calibri" w:hAnsi="Calibri" w:cs="Calibri"/>
          <w:color w:val="000000"/>
          <w:sz w:val="20"/>
          <w:szCs w:val="20"/>
        </w:rPr>
        <w:sectPr w:rsidR="00897937" w:rsidSect="00897937">
          <w:type w:val="continuous"/>
          <w:pgSz w:w="12240" w:h="15840"/>
          <w:pgMar w:top="1440" w:right="1440" w:bottom="1440" w:left="1440" w:header="720" w:footer="720" w:gutter="0"/>
          <w:cols w:num="2" w:space="288" w:equalWidth="0">
            <w:col w:w="720" w:space="288"/>
            <w:col w:w="8352"/>
          </w:cols>
          <w:docGrid w:linePitch="360"/>
        </w:sectPr>
      </w:pPr>
    </w:p>
    <w:p w14:paraId="22D9E6BC" w14:textId="6157CB0D" w:rsidR="00B474B9" w:rsidRPr="00897937" w:rsidRDefault="00B474B9" w:rsidP="00897937">
      <w:pPr>
        <w:autoSpaceDE w:val="0"/>
        <w:autoSpaceDN w:val="0"/>
        <w:adjustRightInd w:val="0"/>
        <w:spacing w:after="0" w:line="240" w:lineRule="auto"/>
        <w:rPr>
          <w:rFonts w:ascii="Calibri" w:hAnsi="Calibri" w:cs="Calibri"/>
          <w:color w:val="000000"/>
          <w:sz w:val="20"/>
          <w:szCs w:val="20"/>
        </w:rPr>
      </w:pPr>
    </w:p>
    <w:sectPr w:rsidR="00B474B9" w:rsidRPr="00897937" w:rsidSect="003E703C">
      <w:type w:val="continuous"/>
      <w:pgSz w:w="12240" w:h="15840"/>
      <w:pgMar w:top="1440" w:right="1440" w:bottom="1440" w:left="144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FB1BA" w14:textId="77777777" w:rsidR="001F796D" w:rsidRDefault="001F796D" w:rsidP="0077104C">
      <w:pPr>
        <w:spacing w:after="0" w:line="240" w:lineRule="auto"/>
      </w:pPr>
      <w:r>
        <w:separator/>
      </w:r>
    </w:p>
  </w:endnote>
  <w:endnote w:type="continuationSeparator" w:id="0">
    <w:p w14:paraId="594A5412" w14:textId="77777777" w:rsidR="001F796D" w:rsidRDefault="001F796D" w:rsidP="0077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BF94" w14:textId="38AC48C1" w:rsidR="008C2C22" w:rsidRDefault="003E703C" w:rsidP="008C2C22">
    <w:pPr>
      <w:pStyle w:val="Footer"/>
      <w:jc w:val="center"/>
    </w:pPr>
    <w:r>
      <w:t xml:space="preserve">200 Anywhere Avenue </w:t>
    </w:r>
    <w:r>
      <w:rPr>
        <w:rFonts w:cstheme="minorHAnsi"/>
      </w:rPr>
      <w:t>●</w:t>
    </w:r>
    <w:r>
      <w:t xml:space="preserve"> Anywhere, Maryland 21211 </w:t>
    </w:r>
    <w:r>
      <w:rPr>
        <w:rFonts w:cstheme="minorHAnsi"/>
      </w:rPr>
      <w:t>●</w:t>
    </w:r>
    <w:r>
      <w:t xml:space="preserve"> www.EverywherePublicSchools.org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B6BD0" w14:textId="77777777" w:rsidR="001F796D" w:rsidRDefault="001F796D" w:rsidP="0077104C">
      <w:pPr>
        <w:spacing w:after="0" w:line="240" w:lineRule="auto"/>
      </w:pPr>
      <w:r>
        <w:separator/>
      </w:r>
    </w:p>
  </w:footnote>
  <w:footnote w:type="continuationSeparator" w:id="0">
    <w:p w14:paraId="7FD4B8C8" w14:textId="77777777" w:rsidR="001F796D" w:rsidRDefault="001F796D" w:rsidP="00771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DD91" w14:textId="76C2C645" w:rsidR="00CA10BB" w:rsidRPr="00CA10BB" w:rsidRDefault="00CA10BB" w:rsidP="00CA10BB">
    <w:pPr>
      <w:pStyle w:val="Header"/>
      <w:jc w:val="center"/>
    </w:pPr>
    <w:r w:rsidRPr="00CA10BB">
      <w:rPr>
        <w:noProof/>
      </w:rPr>
      <w:drawing>
        <wp:inline distT="0" distB="0" distL="0" distR="0" wp14:anchorId="293D3B15" wp14:editId="6BF8E598">
          <wp:extent cx="170307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03070" cy="685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4C"/>
    <w:rsid w:val="00006036"/>
    <w:rsid w:val="00022124"/>
    <w:rsid w:val="00075911"/>
    <w:rsid w:val="000B63D1"/>
    <w:rsid w:val="000D246B"/>
    <w:rsid w:val="001532EF"/>
    <w:rsid w:val="001F796D"/>
    <w:rsid w:val="00232C8B"/>
    <w:rsid w:val="0027084C"/>
    <w:rsid w:val="0029053E"/>
    <w:rsid w:val="00312B6A"/>
    <w:rsid w:val="00334E8C"/>
    <w:rsid w:val="00367604"/>
    <w:rsid w:val="003751B6"/>
    <w:rsid w:val="00381E56"/>
    <w:rsid w:val="003B068B"/>
    <w:rsid w:val="003E703C"/>
    <w:rsid w:val="003F1F38"/>
    <w:rsid w:val="00432A71"/>
    <w:rsid w:val="00697431"/>
    <w:rsid w:val="006E45DD"/>
    <w:rsid w:val="0071161F"/>
    <w:rsid w:val="007200DE"/>
    <w:rsid w:val="00722E9B"/>
    <w:rsid w:val="00727DB4"/>
    <w:rsid w:val="00741F5C"/>
    <w:rsid w:val="00766EAF"/>
    <w:rsid w:val="0077104C"/>
    <w:rsid w:val="00841522"/>
    <w:rsid w:val="0087743C"/>
    <w:rsid w:val="00897937"/>
    <w:rsid w:val="008C2C22"/>
    <w:rsid w:val="00913616"/>
    <w:rsid w:val="009B49A4"/>
    <w:rsid w:val="009B6496"/>
    <w:rsid w:val="009D15F9"/>
    <w:rsid w:val="00B474B9"/>
    <w:rsid w:val="00B77039"/>
    <w:rsid w:val="00BC7030"/>
    <w:rsid w:val="00BE0B3D"/>
    <w:rsid w:val="00C05380"/>
    <w:rsid w:val="00C533F8"/>
    <w:rsid w:val="00C90258"/>
    <w:rsid w:val="00CA10BB"/>
    <w:rsid w:val="00CF4ED4"/>
    <w:rsid w:val="00D42909"/>
    <w:rsid w:val="00DB2E8C"/>
    <w:rsid w:val="00E15482"/>
    <w:rsid w:val="00E525DF"/>
    <w:rsid w:val="00EC4053"/>
    <w:rsid w:val="00EE4319"/>
    <w:rsid w:val="00EF7BEE"/>
    <w:rsid w:val="00F267D8"/>
    <w:rsid w:val="00F34DE6"/>
    <w:rsid w:val="00F449DF"/>
    <w:rsid w:val="00F72196"/>
    <w:rsid w:val="00FE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B7C751"/>
  <w15:chartTrackingRefBased/>
  <w15:docId w15:val="{E6DC4430-9FAF-4C7E-8CF1-1F73AEE6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rsid w:val="00F267D8"/>
    <w:pPr>
      <w:spacing w:before="100" w:after="0" w:line="276" w:lineRule="auto"/>
    </w:pPr>
    <w:rPr>
      <w:rFonts w:eastAsiaTheme="minorEastAsia"/>
      <w:b/>
      <w:szCs w:val="20"/>
    </w:rPr>
  </w:style>
  <w:style w:type="paragraph" w:styleId="Header">
    <w:name w:val="header"/>
    <w:basedOn w:val="Normal"/>
    <w:link w:val="HeaderChar"/>
    <w:uiPriority w:val="99"/>
    <w:unhideWhenUsed/>
    <w:rsid w:val="00771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04C"/>
  </w:style>
  <w:style w:type="paragraph" w:styleId="Footer">
    <w:name w:val="footer"/>
    <w:basedOn w:val="Normal"/>
    <w:link w:val="FooterChar"/>
    <w:uiPriority w:val="99"/>
    <w:unhideWhenUsed/>
    <w:rsid w:val="00771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04C"/>
  </w:style>
  <w:style w:type="paragraph" w:customStyle="1" w:styleId="Default">
    <w:name w:val="Default"/>
    <w:rsid w:val="0077104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53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1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38"/>
    <w:rPr>
      <w:rFonts w:ascii="Segoe UI" w:hAnsi="Segoe UI" w:cs="Segoe UI"/>
      <w:sz w:val="18"/>
      <w:szCs w:val="18"/>
    </w:rPr>
  </w:style>
  <w:style w:type="character" w:styleId="CommentReference">
    <w:name w:val="annotation reference"/>
    <w:basedOn w:val="DefaultParagraphFont"/>
    <w:uiPriority w:val="99"/>
    <w:semiHidden/>
    <w:unhideWhenUsed/>
    <w:rsid w:val="00722E9B"/>
    <w:rPr>
      <w:sz w:val="16"/>
      <w:szCs w:val="16"/>
    </w:rPr>
  </w:style>
  <w:style w:type="paragraph" w:styleId="CommentText">
    <w:name w:val="annotation text"/>
    <w:basedOn w:val="Normal"/>
    <w:link w:val="CommentTextChar"/>
    <w:uiPriority w:val="99"/>
    <w:semiHidden/>
    <w:unhideWhenUsed/>
    <w:rsid w:val="00722E9B"/>
    <w:pPr>
      <w:spacing w:line="240" w:lineRule="auto"/>
    </w:pPr>
    <w:rPr>
      <w:sz w:val="20"/>
      <w:szCs w:val="20"/>
    </w:rPr>
  </w:style>
  <w:style w:type="character" w:customStyle="1" w:styleId="CommentTextChar">
    <w:name w:val="Comment Text Char"/>
    <w:basedOn w:val="DefaultParagraphFont"/>
    <w:link w:val="CommentText"/>
    <w:uiPriority w:val="99"/>
    <w:semiHidden/>
    <w:rsid w:val="00722E9B"/>
    <w:rPr>
      <w:sz w:val="20"/>
      <w:szCs w:val="20"/>
    </w:rPr>
  </w:style>
  <w:style w:type="paragraph" w:styleId="CommentSubject">
    <w:name w:val="annotation subject"/>
    <w:basedOn w:val="CommentText"/>
    <w:next w:val="CommentText"/>
    <w:link w:val="CommentSubjectChar"/>
    <w:uiPriority w:val="99"/>
    <w:semiHidden/>
    <w:unhideWhenUsed/>
    <w:rsid w:val="00722E9B"/>
    <w:rPr>
      <w:b/>
      <w:bCs/>
    </w:rPr>
  </w:style>
  <w:style w:type="character" w:customStyle="1" w:styleId="CommentSubjectChar">
    <w:name w:val="Comment Subject Char"/>
    <w:basedOn w:val="CommentTextChar"/>
    <w:link w:val="CommentSubject"/>
    <w:uiPriority w:val="99"/>
    <w:semiHidden/>
    <w:rsid w:val="00722E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E21CF-60A1-422C-AC2D-AAB69AE5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Key</dc:creator>
  <cp:keywords/>
  <dc:description/>
  <cp:lastModifiedBy>Katherine Key</cp:lastModifiedBy>
  <cp:revision>3</cp:revision>
  <dcterms:created xsi:type="dcterms:W3CDTF">2021-05-14T18:47:00Z</dcterms:created>
  <dcterms:modified xsi:type="dcterms:W3CDTF">2022-03-04T14:06:00Z</dcterms:modified>
</cp:coreProperties>
</file>