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jdgxs" w:colFirst="0" w:colLast="0" w:displacedByCustomXml="next"/>
    <w:bookmarkEnd w:id="0" w:displacedByCustomXml="next"/>
    <w:sdt>
      <w:sdtPr>
        <w:id w:val="1482422289"/>
        <w:docPartObj>
          <w:docPartGallery w:val="Cover Pages"/>
          <w:docPartUnique/>
        </w:docPartObj>
      </w:sdtPr>
      <w:sdtEndPr>
        <w:rPr>
          <w:b/>
          <w:sz w:val="24"/>
          <w:szCs w:val="24"/>
        </w:rPr>
      </w:sdtEndPr>
      <w:sdtContent>
        <w:p w:rsidR="00387AD9" w:rsidRDefault="00387AD9">
          <w:r>
            <w:rPr>
              <w:noProof/>
              <w:lang w:val="en-US"/>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0E37C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8" o:title="" recolor="t" rotate="t" type="frame"/>
                    </v:rect>
                    <w10:wrap anchorx="page" anchory="page"/>
                  </v:group>
                </w:pict>
              </mc:Fallback>
            </mc:AlternateContent>
          </w:r>
        </w:p>
        <w:p w:rsidR="002A4E83" w:rsidRDefault="002A4E83">
          <w:pPr>
            <w:rPr>
              <w:b/>
              <w:sz w:val="24"/>
              <w:szCs w:val="24"/>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-161925</wp:posOffset>
                    </wp:positionH>
                    <wp:positionV relativeFrom="paragraph">
                      <wp:posOffset>6625590</wp:posOffset>
                    </wp:positionV>
                    <wp:extent cx="1704975" cy="276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704975" cy="276225"/>
                            </a:xfrm>
                            <a:prstGeom prst="rect">
                              <a:avLst/>
                            </a:prstGeom>
                            <a:solidFill>
                              <a:schemeClr val="lt1"/>
                            </a:solidFill>
                            <a:ln w="6350">
                              <a:noFill/>
                            </a:ln>
                          </wps:spPr>
                          <wps:txbx>
                            <w:txbxContent>
                              <w:p w:rsidR="002A4E83" w:rsidRPr="002A4E83" w:rsidRDefault="004F4372">
                                <w:r>
                                  <w:t>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margin-left:-12.75pt;margin-top:521.7pt;width:134.2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" fillcolor="white [3201]" stroked="f" strokeweight=".5pt">
                    <v:textbox>
                      <w:txbxContent>
                        <w:p w:rsidR="002A4E83" w:rsidRPr="002A4E83" w:rsidRDefault="004F4372">
                          <w:r>
                            <w:t>March 2019</w:t>
                          </w:r>
                        </w:p>
                      </w:txbxContent>
                    </v:textbox>
                  </v:shape>
                </w:pict>
              </mc:Fallback>
            </mc:AlternateContent>
          </w:r>
          <w:r>
            <w:rPr>
              <w:noProof/>
              <w:lang w:val="en-US"/>
            </w:rPr>
            <w:drawing>
              <wp:anchor distT="0" distB="0" distL="114300" distR="114300" simplePos="0" relativeHeight="251664384" behindDoc="1" locked="0" layoutInCell="1" allowOverlap="1" wp14:anchorId="5CF7C751" wp14:editId="28A65587">
                <wp:simplePos x="0" y="0"/>
                <wp:positionH relativeFrom="margin">
                  <wp:posOffset>523875</wp:posOffset>
                </wp:positionH>
                <wp:positionV relativeFrom="paragraph">
                  <wp:posOffset>2580640</wp:posOffset>
                </wp:positionV>
                <wp:extent cx="1765300" cy="866775"/>
                <wp:effectExtent l="0" t="0" r="6350" b="9525"/>
                <wp:wrapTight wrapText="bothSides">
                  <wp:wrapPolygon edited="0">
                    <wp:start x="0" y="0"/>
                    <wp:lineTo x="0" y="21363"/>
                    <wp:lineTo x="21445" y="21363"/>
                    <wp:lineTo x="21445" y="0"/>
                    <wp:lineTo x="0" y="0"/>
                  </wp:wrapPolygon>
                </wp:wrapTight>
                <wp:docPr id="1" name="Picture 1" descr="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6432" behindDoc="0" locked="0" layoutInCell="1" allowOverlap="1" wp14:anchorId="212ADAB8" wp14:editId="04157C72">
                    <wp:simplePos x="0" y="0"/>
                    <wp:positionH relativeFrom="margin">
                      <wp:posOffset>1095375</wp:posOffset>
                    </wp:positionH>
                    <wp:positionV relativeFrom="paragraph">
                      <wp:posOffset>4720590</wp:posOffset>
                    </wp:positionV>
                    <wp:extent cx="6572250" cy="1219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72250" cy="1219200"/>
                            </a:xfrm>
                            <a:prstGeom prst="rect">
                              <a:avLst/>
                            </a:prstGeom>
                            <a:solidFill>
                              <a:schemeClr val="lt1"/>
                            </a:solidFill>
                            <a:ln w="6350">
                              <a:noFill/>
                            </a:ln>
                          </wps:spPr>
                          <wps:txbx>
                            <w:txbxContent>
                              <w:p w:rsidR="002A4E83" w:rsidRPr="00CB1222" w:rsidRDefault="008648B7" w:rsidP="002A4E83">
                                <w:pPr>
                                  <w:jc w:val="center"/>
                                  <w:rPr>
                                    <w:rFonts w:cstheme="minorHAnsi"/>
                                    <w:b/>
                                    <w:color w:val="4F81BD" w:themeColor="accent1"/>
                                    <w:shd w:val="clear" w:color="auto" w:fill="FFFFFF"/>
                                  </w:rPr>
                                </w:pPr>
                                <w:hyperlink r:id="rId10" w:history="1">
                                  <w:r w:rsidR="002A4E83" w:rsidRPr="00CB1222">
                                    <w:rPr>
                                      <w:rStyle w:val="Hyperlink"/>
                                      <w:rFonts w:cstheme="minorHAnsi"/>
                                      <w:b/>
                                      <w:color w:val="4F81BD" w:themeColor="accent1"/>
                                      <w:u w:val="none"/>
                                    </w:rPr>
                                    <w:t xml:space="preserve">Division of Curriculum, </w:t>
                                  </w:r>
                                  <w:r w:rsidR="002A4E83" w:rsidRPr="00CB1222">
                                    <w:rPr>
                                      <w:rStyle w:val="Hyperlink"/>
                                      <w:rFonts w:cstheme="minorHAnsi"/>
                                      <w:b/>
                                      <w:color w:val="4F81BD" w:themeColor="accent1"/>
                                      <w:u w:val="none"/>
                                      <w:shd w:val="clear" w:color="auto" w:fill="FFFFFF"/>
                                    </w:rPr>
                                    <w:t>Instructional Improvement, and Professional Learning</w:t>
                                  </w:r>
                                </w:hyperlink>
                                <w:r w:rsidR="002A4E83" w:rsidRPr="00CB1222">
                                  <w:rPr>
                                    <w:rFonts w:cstheme="minorHAnsi"/>
                                    <w:b/>
                                    <w:color w:val="4F81BD" w:themeColor="accent1"/>
                                    <w:shd w:val="clear" w:color="auto" w:fill="FFFFFF"/>
                                  </w:rPr>
                                  <w:br/>
                                  <w:t xml:space="preserve">and </w:t>
                                </w:r>
                                <w:r w:rsidR="002A4E83" w:rsidRPr="00CB1222">
                                  <w:rPr>
                                    <w:rFonts w:cstheme="minorHAnsi"/>
                                    <w:b/>
                                    <w:color w:val="4F81BD" w:themeColor="accent1"/>
                                    <w:shd w:val="clear" w:color="auto" w:fill="FFFFFF"/>
                                  </w:rPr>
                                  <w:br/>
                                </w:r>
                                <w:hyperlink r:id="rId11" w:history="1">
                                  <w:r w:rsidR="002A4E83" w:rsidRPr="00CB1222">
                                    <w:rPr>
                                      <w:rStyle w:val="Hyperlink"/>
                                      <w:rFonts w:cstheme="minorHAnsi"/>
                                      <w:b/>
                                      <w:color w:val="4F81BD" w:themeColor="accent1"/>
                                      <w:u w:val="none"/>
                                      <w:shd w:val="clear" w:color="auto" w:fill="FFFFFF"/>
                                    </w:rPr>
                                    <w:t>Office of Leadership Development and School Improvement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2ADAB8" id="_x0000_t202" coordsize="21600,21600" o:spt="202" path="m,l,21600r21600,l21600,xe">
                    <v:stroke joinstyle="miter"/>
                    <v:path gradientshapeok="t" o:connecttype="rect"/>
                  </v:shapetype>
                  <v:shape id="Text Box 3" o:spid="_x0000_s1027" type="#_x0000_t202" style="position:absolute;margin-left:86.25pt;margin-top:371.7pt;width:517.5pt;height:9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" fillcolor="white [3201]" stroked="f" strokeweight=".5pt">
                    <v:textbox>
                      <w:txbxContent>
                        <w:p w:rsidR="002A4E83" w:rsidRPr="00CB1222" w:rsidRDefault="00EC5BDA" w:rsidP="002A4E83">
                          <w:pPr>
                            <w:jc w:val="center"/>
                            <w:rPr>
                              <w:rFonts w:cstheme="minorHAnsi"/>
                              <w:b/>
                              <w:color w:val="4F81BD" w:themeColor="accent1"/>
                              <w:shd w:val="clear" w:color="auto" w:fill="FFFFFF"/>
                            </w:rPr>
                          </w:pPr>
                          <w:hyperlink r:id="rId12" w:history="1">
                            <w:r w:rsidR="002A4E83" w:rsidRPr="00CB1222">
                              <w:rPr>
                                <w:rStyle w:val="Hyperlink"/>
                                <w:rFonts w:cstheme="minorHAnsi"/>
                                <w:b/>
                                <w:color w:val="4F81BD" w:themeColor="accent1"/>
                                <w:u w:val="none"/>
                              </w:rPr>
                              <w:t xml:space="preserve">Division of Curriculum, </w:t>
                            </w:r>
                            <w:r w:rsidR="002A4E83" w:rsidRPr="00CB1222">
                              <w:rPr>
                                <w:rStyle w:val="Hyperlink"/>
                                <w:rFonts w:cstheme="minorHAnsi"/>
                                <w:b/>
                                <w:color w:val="4F81BD" w:themeColor="accent1"/>
                                <w:u w:val="none"/>
                                <w:shd w:val="clear" w:color="auto" w:fill="FFFFFF"/>
                              </w:rPr>
                              <w:t>Instructional Improvement, and Professional Learning</w:t>
                            </w:r>
                          </w:hyperlink>
                          <w:r w:rsidR="002A4E83" w:rsidRPr="00CB1222">
                            <w:rPr>
                              <w:rFonts w:cstheme="minorHAnsi"/>
                              <w:b/>
                              <w:color w:val="4F81BD" w:themeColor="accent1"/>
                              <w:shd w:val="clear" w:color="auto" w:fill="FFFFFF"/>
                            </w:rPr>
                            <w:br/>
                            <w:t xml:space="preserve">and </w:t>
                          </w:r>
                          <w:r w:rsidR="002A4E83" w:rsidRPr="00CB1222">
                            <w:rPr>
                              <w:rFonts w:cstheme="minorHAnsi"/>
                              <w:b/>
                              <w:color w:val="4F81BD" w:themeColor="accent1"/>
                              <w:shd w:val="clear" w:color="auto" w:fill="FFFFFF"/>
                            </w:rPr>
                            <w:br/>
                          </w:r>
                          <w:hyperlink r:id="rId13" w:history="1">
                            <w:r w:rsidR="002A4E83" w:rsidRPr="00CB1222">
                              <w:rPr>
                                <w:rStyle w:val="Hyperlink"/>
                                <w:rFonts w:cstheme="minorHAnsi"/>
                                <w:b/>
                                <w:color w:val="4F81BD" w:themeColor="accent1"/>
                                <w:u w:val="none"/>
                                <w:shd w:val="clear" w:color="auto" w:fill="FFFFFF"/>
                              </w:rPr>
                              <w:t>Office of Leadership Development and School Improvement</w:t>
                            </w:r>
                          </w:hyperlink>
                        </w:p>
                      </w:txbxContent>
                    </v:textbox>
                    <w10:wrap anchorx="margin"/>
                  </v:shape>
                </w:pict>
              </mc:Fallback>
            </mc:AlternateContent>
          </w:r>
          <w:r w:rsidR="00387AD9">
            <w:rPr>
              <w:noProof/>
              <w:lang w:val="en-US"/>
            </w:rPr>
            <mc:AlternateContent>
              <mc:Choice Requires="wps">
                <w:drawing>
                  <wp:anchor distT="0" distB="0" distL="114300" distR="114300" simplePos="0" relativeHeight="251659264" behindDoc="0" locked="0" layoutInCell="1" allowOverlap="1">
                    <wp:simplePos x="0" y="0"/>
                    <wp:positionH relativeFrom="page">
                      <wp:posOffset>295910</wp:posOffset>
                    </wp:positionH>
                    <wp:positionV relativeFrom="page">
                      <wp:posOffset>1341120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7AD9" w:rsidRPr="00CB1222" w:rsidRDefault="008648B7">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87AD9" w:rsidRPr="00CB1222">
                                      <w:rPr>
                                        <w:caps/>
                                        <w:color w:val="4F81BD" w:themeColor="accent1"/>
                                        <w:sz w:val="64"/>
                                        <w:szCs w:val="64"/>
                                      </w:rPr>
                                      <w:t>English LANGUAGE arts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387AD9" w:rsidRDefault="00771C02">
                                    <w:pPr>
                                      <w:jc w:val="right"/>
                                      <w:rPr>
                                        <w:smallCaps/>
                                        <w:color w:val="404040" w:themeColor="text1" w:themeTint="BF"/>
                                        <w:sz w:val="36"/>
                                        <w:szCs w:val="36"/>
                                      </w:rPr>
                                    </w:pPr>
                                    <w:r>
                                      <w:rPr>
                                        <w:color w:val="404040" w:themeColor="text1" w:themeTint="BF"/>
                                        <w:sz w:val="36"/>
                                        <w:szCs w:val="36"/>
                                      </w:rPr>
                                      <w:t>Second Grade</w:t>
                                    </w:r>
                                    <w:r w:rsidR="00387AD9">
                                      <w:rPr>
                                        <w:color w:val="404040" w:themeColor="text1" w:themeTint="BF"/>
                                        <w:sz w:val="36"/>
                                        <w:szCs w:val="36"/>
                                      </w:rPr>
                                      <w:t xml:space="preserve"> Curriculum Vetting Rubric</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4" o:spid="_x0000_s1028" type="#_x0000_t202" style="position:absolute;margin-left:23.3pt;margin-top:105.6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" filled="f" stroked="f" strokeweight=".5pt">
                    <v:textbox inset="126pt,0,54pt,0">
                      <w:txbxContent>
                        <w:p w:rsidR="00387AD9" w:rsidRPr="00CB1222" w:rsidRDefault="00EC5BDA">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87AD9" w:rsidRPr="00CB1222">
                                <w:rPr>
                                  <w:caps/>
                                  <w:color w:val="4F81BD" w:themeColor="accent1"/>
                                  <w:sz w:val="64"/>
                                  <w:szCs w:val="64"/>
                                </w:rPr>
                                <w:t>English LANGUAGE arts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387AD9" w:rsidRDefault="00771C02">
                              <w:pPr>
                                <w:jc w:val="right"/>
                                <w:rPr>
                                  <w:smallCaps/>
                                  <w:color w:val="404040" w:themeColor="text1" w:themeTint="BF"/>
                                  <w:sz w:val="36"/>
                                  <w:szCs w:val="36"/>
                                </w:rPr>
                              </w:pPr>
                              <w:r>
                                <w:rPr>
                                  <w:color w:val="404040" w:themeColor="text1" w:themeTint="BF"/>
                                  <w:sz w:val="36"/>
                                  <w:szCs w:val="36"/>
                                </w:rPr>
                                <w:t>Second Grade</w:t>
                              </w:r>
                              <w:r w:rsidR="00387AD9">
                                <w:rPr>
                                  <w:color w:val="404040" w:themeColor="text1" w:themeTint="BF"/>
                                  <w:sz w:val="36"/>
                                  <w:szCs w:val="36"/>
                                </w:rPr>
                                <w:t xml:space="preserve"> Curriculum Vetting Rubric</w:t>
                              </w:r>
                            </w:p>
                          </w:sdtContent>
                        </w:sdt>
                      </w:txbxContent>
                    </v:textbox>
                    <w10:wrap type="square" anchorx="page" anchory="page"/>
                  </v:shape>
                </w:pict>
              </mc:Fallback>
            </mc:AlternateContent>
          </w:r>
          <w:r w:rsidR="00387AD9">
            <w:rPr>
              <w:b/>
              <w:sz w:val="24"/>
              <w:szCs w:val="24"/>
            </w:rPr>
            <w:br w:type="page"/>
          </w:r>
        </w:p>
      </w:sdtContent>
    </w:sdt>
    <w:p w:rsidR="005D74E9" w:rsidRPr="005D74E9" w:rsidRDefault="005D74E9" w:rsidP="005D74E9">
      <w:pPr>
        <w:rPr>
          <w:b/>
          <w:sz w:val="24"/>
          <w:szCs w:val="24"/>
        </w:rPr>
      </w:pPr>
      <w:r w:rsidRPr="005D74E9">
        <w:rPr>
          <w:b/>
          <w:sz w:val="24"/>
          <w:szCs w:val="24"/>
        </w:rPr>
        <w:lastRenderedPageBreak/>
        <w:t>Overview</w:t>
      </w:r>
    </w:p>
    <w:p w:rsidR="005D74E9" w:rsidRPr="005D74E9" w:rsidRDefault="005D74E9" w:rsidP="005D74E9">
      <w:pPr>
        <w:rPr>
          <w:sz w:val="24"/>
          <w:szCs w:val="24"/>
        </w:rPr>
      </w:pPr>
      <w:r w:rsidRPr="005D74E9">
        <w:rPr>
          <w:sz w:val="24"/>
          <w:szCs w:val="24"/>
        </w:rPr>
        <w:t xml:space="preserve">The Maryland State Department of Education’s </w:t>
      </w:r>
      <w:hyperlink r:id="rId14" w:history="1">
        <w:r w:rsidRPr="005D74E9">
          <w:rPr>
            <w:rStyle w:val="Hyperlink"/>
            <w:sz w:val="24"/>
            <w:szCs w:val="24"/>
          </w:rPr>
          <w:t>curriculum vetting rubrics</w:t>
        </w:r>
      </w:hyperlink>
      <w:r w:rsidRPr="005D74E9">
        <w:rPr>
          <w:sz w:val="24"/>
          <w:szCs w:val="24"/>
        </w:rPr>
        <w:t xml:space="preserve"> are designed to serve as a support for school system leaders in identifying high-quality, standards-based curriculum. </w:t>
      </w:r>
      <w:hyperlink r:id="rId15" w:history="1">
        <w:r w:rsidRPr="005D74E9">
          <w:rPr>
            <w:rStyle w:val="Hyperlink"/>
            <w:sz w:val="24"/>
            <w:szCs w:val="24"/>
          </w:rPr>
          <w:t>Code of Maryland Regulation 13A.04.14</w:t>
        </w:r>
      </w:hyperlink>
      <w:r w:rsidRPr="005D74E9">
        <w:rPr>
          <w:sz w:val="24"/>
          <w:szCs w:val="24"/>
        </w:rPr>
        <w:t xml:space="preserve"> requires each public school system to use curriculum that is aligned with the </w:t>
      </w:r>
      <w:hyperlink r:id="rId16" w:history="1">
        <w:r w:rsidRPr="009E0BB7">
          <w:rPr>
            <w:rStyle w:val="Hyperlink"/>
            <w:sz w:val="24"/>
            <w:szCs w:val="24"/>
          </w:rPr>
          <w:t>Maryland College- and Career-Ready Standards</w:t>
        </w:r>
      </w:hyperlink>
      <w:r>
        <w:rPr>
          <w:sz w:val="24"/>
          <w:szCs w:val="24"/>
        </w:rPr>
        <w:t>. The English language arts (ELA)</w:t>
      </w:r>
      <w:r w:rsidRPr="005D74E9">
        <w:rPr>
          <w:sz w:val="24"/>
          <w:szCs w:val="24"/>
        </w:rPr>
        <w:t xml:space="preserve"> curriculum vetting rubric can be used to evaluate curri</w:t>
      </w:r>
      <w:r w:rsidR="00764706">
        <w:rPr>
          <w:sz w:val="24"/>
          <w:szCs w:val="24"/>
        </w:rPr>
        <w:t>culum for kindergarten to grade ten</w:t>
      </w:r>
      <w:r w:rsidRPr="005D74E9">
        <w:rPr>
          <w:sz w:val="24"/>
          <w:szCs w:val="24"/>
        </w:rPr>
        <w:t xml:space="preserve">.  </w:t>
      </w:r>
    </w:p>
    <w:p w:rsidR="005D74E9" w:rsidRPr="005D74E9" w:rsidRDefault="005D74E9" w:rsidP="005D74E9">
      <w:pPr>
        <w:rPr>
          <w:sz w:val="24"/>
          <w:szCs w:val="24"/>
        </w:rPr>
      </w:pPr>
    </w:p>
    <w:p w:rsidR="005D74E9" w:rsidRPr="005D74E9" w:rsidRDefault="005D74E9" w:rsidP="005D74E9">
      <w:pPr>
        <w:rPr>
          <w:sz w:val="24"/>
          <w:szCs w:val="24"/>
        </w:rPr>
      </w:pPr>
      <w:r w:rsidRPr="005D74E9">
        <w:rPr>
          <w:sz w:val="24"/>
          <w:szCs w:val="24"/>
        </w:rPr>
        <w:t>Curriculum defines the essential content to be taught and how deeply to teach it so that each student has access to rigorous academic experiences and instructional supports to meet academic standards (</w:t>
      </w:r>
      <w:hyperlink r:id="rId17" w:tgtFrame="_blank" w:history="1">
        <w:r w:rsidRPr="005D74E9">
          <w:rPr>
            <w:rStyle w:val="Hyperlink"/>
            <w:sz w:val="24"/>
            <w:szCs w:val="24"/>
            <w:bdr w:val="none" w:sz="0" w:space="0" w:color="auto" w:frame="1"/>
          </w:rPr>
          <w:t>Supporting Excellence: A Framework for Developing, Implementing, and Sustaining a High-Quality District Curriculum</w:t>
        </w:r>
      </w:hyperlink>
      <w:r w:rsidRPr="005D74E9">
        <w:rPr>
          <w:sz w:val="24"/>
          <w:szCs w:val="24"/>
        </w:rPr>
        <w:t>). Curriculum is not a textbook or a s</w:t>
      </w:r>
      <w:r w:rsidR="00B34386">
        <w:rPr>
          <w:sz w:val="24"/>
          <w:szCs w:val="24"/>
        </w:rPr>
        <w:t xml:space="preserve">et of instructional materials. </w:t>
      </w:r>
      <w:r w:rsidRPr="005D74E9">
        <w:rPr>
          <w:sz w:val="24"/>
          <w:szCs w:val="24"/>
        </w:rPr>
        <w:t xml:space="preserve">It is the comprehensive academic content and assessments aligned to standards. Curriculum builds instructional coherence within and across grade levels and reflects a clear vision about student learning and achievement. Curriculum includes but is not limited to a scope and sequence; measureable goals and student learning outcomes; instructional scaffolds and benchmarks; supporting instructional materials; and formative and summative assessments.  </w:t>
      </w:r>
    </w:p>
    <w:p w:rsidR="005D74E9" w:rsidRPr="005D74E9" w:rsidRDefault="005D74E9" w:rsidP="005D74E9">
      <w:pPr>
        <w:rPr>
          <w:sz w:val="24"/>
          <w:szCs w:val="24"/>
        </w:rPr>
      </w:pPr>
    </w:p>
    <w:p w:rsidR="005D74E9" w:rsidRPr="005D74E9" w:rsidRDefault="005D74E9" w:rsidP="005D74E9">
      <w:pPr>
        <w:rPr>
          <w:sz w:val="24"/>
          <w:szCs w:val="24"/>
        </w:rPr>
      </w:pPr>
      <w:r w:rsidRPr="005D74E9">
        <w:rPr>
          <w:sz w:val="24"/>
          <w:szCs w:val="24"/>
        </w:rPr>
        <w:t xml:space="preserve">The development of the </w:t>
      </w:r>
      <w:r w:rsidR="00764706">
        <w:rPr>
          <w:sz w:val="24"/>
          <w:szCs w:val="24"/>
        </w:rPr>
        <w:t>ELA</w:t>
      </w:r>
      <w:r w:rsidRPr="005D74E9">
        <w:rPr>
          <w:sz w:val="24"/>
          <w:szCs w:val="24"/>
        </w:rPr>
        <w:t xml:space="preserve"> curriculum vetting rubric was informed by </w:t>
      </w:r>
      <w:hyperlink r:id="rId18" w:tgtFrame="_blank" w:history="1">
        <w:proofErr w:type="spellStart"/>
        <w:r w:rsidRPr="005D74E9">
          <w:rPr>
            <w:rStyle w:val="Hyperlink"/>
            <w:sz w:val="24"/>
            <w:szCs w:val="24"/>
            <w:bdr w:val="none" w:sz="0" w:space="0" w:color="auto" w:frame="1"/>
          </w:rPr>
          <w:t>Achieve's</w:t>
        </w:r>
        <w:proofErr w:type="spellEnd"/>
        <w:r w:rsidRPr="005D74E9">
          <w:rPr>
            <w:rStyle w:val="Hyperlink"/>
            <w:sz w:val="24"/>
            <w:szCs w:val="24"/>
            <w:bdr w:val="none" w:sz="0" w:space="0" w:color="auto" w:frame="1"/>
          </w:rPr>
          <w:t> </w:t>
        </w:r>
        <w:r w:rsidRPr="005D74E9">
          <w:rPr>
            <w:rStyle w:val="Hyperlink"/>
            <w:i/>
            <w:iCs/>
            <w:sz w:val="24"/>
            <w:szCs w:val="24"/>
            <w:bdr w:val="none" w:sz="0" w:space="0" w:color="auto" w:frame="1"/>
          </w:rPr>
          <w:t>Educators Evaluating the Quality of Instructional Products</w:t>
        </w:r>
        <w:r w:rsidRPr="005D74E9">
          <w:rPr>
            <w:rStyle w:val="Hyperlink"/>
            <w:sz w:val="24"/>
            <w:szCs w:val="24"/>
            <w:bdr w:val="none" w:sz="0" w:space="0" w:color="auto" w:frame="1"/>
          </w:rPr>
          <w:t> (</w:t>
        </w:r>
        <w:proofErr w:type="spellStart"/>
        <w:r w:rsidRPr="005D74E9">
          <w:rPr>
            <w:rStyle w:val="Hyperlink"/>
            <w:sz w:val="24"/>
            <w:szCs w:val="24"/>
            <w:bdr w:val="none" w:sz="0" w:space="0" w:color="auto" w:frame="1"/>
          </w:rPr>
          <w:t>EQuIP</w:t>
        </w:r>
        <w:proofErr w:type="spellEnd"/>
        <w:r w:rsidRPr="005D74E9">
          <w:rPr>
            <w:rStyle w:val="Hyperlink"/>
            <w:sz w:val="24"/>
            <w:szCs w:val="24"/>
            <w:bdr w:val="none" w:sz="0" w:space="0" w:color="auto" w:frame="1"/>
          </w:rPr>
          <w:t>)</w:t>
        </w:r>
      </w:hyperlink>
      <w:r w:rsidRPr="005D74E9">
        <w:rPr>
          <w:sz w:val="24"/>
          <w:szCs w:val="24"/>
          <w:u w:val="single"/>
          <w:bdr w:val="none" w:sz="0" w:space="0" w:color="auto" w:frame="1"/>
        </w:rPr>
        <w:t xml:space="preserve"> </w:t>
      </w:r>
      <w:r w:rsidRPr="005D74E9">
        <w:rPr>
          <w:sz w:val="24"/>
          <w:szCs w:val="24"/>
        </w:rPr>
        <w:t>rubrics, the </w:t>
      </w:r>
      <w:hyperlink r:id="rId19" w:tgtFrame="_blank" w:history="1">
        <w:r w:rsidRPr="005D74E9">
          <w:rPr>
            <w:rStyle w:val="Hyperlink"/>
            <w:i/>
            <w:iCs/>
            <w:sz w:val="24"/>
            <w:szCs w:val="24"/>
            <w:bdr w:val="none" w:sz="0" w:space="0" w:color="auto" w:frame="1"/>
          </w:rPr>
          <w:t>Grade-Level Instructional Materials Evaluation Tool- Quality Review</w:t>
        </w:r>
      </w:hyperlink>
      <w:r w:rsidRPr="005D74E9">
        <w:rPr>
          <w:i/>
          <w:iCs/>
          <w:sz w:val="24"/>
          <w:szCs w:val="24"/>
          <w:bdr w:val="none" w:sz="0" w:space="0" w:color="auto" w:frame="1"/>
        </w:rPr>
        <w:t> </w:t>
      </w:r>
      <w:r w:rsidRPr="005D74E9">
        <w:rPr>
          <w:sz w:val="24"/>
          <w:szCs w:val="24"/>
        </w:rPr>
        <w:t xml:space="preserve">(GIMET-QR),  </w:t>
      </w:r>
      <w:hyperlink r:id="rId20" w:tgtFrame="_blank" w:history="1">
        <w:r w:rsidRPr="005D74E9">
          <w:rPr>
            <w:rStyle w:val="Hyperlink"/>
            <w:sz w:val="24"/>
            <w:szCs w:val="24"/>
            <w:bdr w:val="none" w:sz="0" w:space="0" w:color="auto" w:frame="1"/>
          </w:rPr>
          <w:t>Supporting Excellence: A Framework for Developing, Implementing, and Sustaining a High-Quality District Curriculum</w:t>
        </w:r>
      </w:hyperlink>
      <w:r w:rsidRPr="005D74E9">
        <w:rPr>
          <w:sz w:val="24"/>
          <w:szCs w:val="24"/>
        </w:rPr>
        <w:t xml:space="preserve">, and peer-reviewed research. </w:t>
      </w:r>
    </w:p>
    <w:p w:rsidR="005D74E9" w:rsidRPr="005D74E9" w:rsidRDefault="005D74E9" w:rsidP="005D74E9">
      <w:pPr>
        <w:rPr>
          <w:sz w:val="24"/>
          <w:szCs w:val="24"/>
        </w:rPr>
      </w:pPr>
    </w:p>
    <w:p w:rsidR="00786C1D" w:rsidRDefault="005D74E9" w:rsidP="005D74E9">
      <w:pPr>
        <w:rPr>
          <w:sz w:val="24"/>
          <w:szCs w:val="24"/>
        </w:rPr>
      </w:pPr>
      <w:r w:rsidRPr="005D74E9">
        <w:rPr>
          <w:sz w:val="24"/>
          <w:szCs w:val="24"/>
        </w:rPr>
        <w:t xml:space="preserve">The </w:t>
      </w:r>
      <w:r w:rsidR="00764706">
        <w:rPr>
          <w:sz w:val="24"/>
          <w:szCs w:val="24"/>
        </w:rPr>
        <w:t xml:space="preserve">K-2 ELA curriculum vetting </w:t>
      </w:r>
      <w:r w:rsidRPr="005D74E9">
        <w:rPr>
          <w:sz w:val="24"/>
          <w:szCs w:val="24"/>
        </w:rPr>
        <w:t>rubric is designed to support a holistic vi</w:t>
      </w:r>
      <w:r w:rsidR="00764706">
        <w:rPr>
          <w:sz w:val="24"/>
          <w:szCs w:val="24"/>
        </w:rPr>
        <w:t>ew of curriculum with a focus on</w:t>
      </w:r>
      <w:r w:rsidR="005700F8">
        <w:rPr>
          <w:sz w:val="24"/>
          <w:szCs w:val="24"/>
        </w:rPr>
        <w:t xml:space="preserve"> key criteria</w:t>
      </w:r>
      <w:r w:rsidR="00BB672F">
        <w:rPr>
          <w:sz w:val="24"/>
          <w:szCs w:val="24"/>
        </w:rPr>
        <w:t>:</w:t>
      </w:r>
      <w:r w:rsidR="00764706">
        <w:rPr>
          <w:sz w:val="24"/>
          <w:szCs w:val="24"/>
        </w:rPr>
        <w:t xml:space="preserve"> </w:t>
      </w:r>
    </w:p>
    <w:p w:rsidR="00786C1D" w:rsidRPr="00BB672F" w:rsidRDefault="00BB672F" w:rsidP="005D74E9">
      <w:pPr>
        <w:pStyle w:val="ListParagraph"/>
        <w:numPr>
          <w:ilvl w:val="0"/>
          <w:numId w:val="6"/>
        </w:numPr>
        <w:rPr>
          <w:sz w:val="24"/>
          <w:szCs w:val="24"/>
        </w:rPr>
      </w:pPr>
      <w:r>
        <w:rPr>
          <w:sz w:val="24"/>
          <w:szCs w:val="24"/>
        </w:rPr>
        <w:t>alignment with Maryland College- and Career-Ready S</w:t>
      </w:r>
      <w:r w:rsidRPr="00BB672F">
        <w:rPr>
          <w:sz w:val="24"/>
          <w:szCs w:val="24"/>
        </w:rPr>
        <w:t xml:space="preserve">tandards; </w:t>
      </w:r>
    </w:p>
    <w:p w:rsidR="00786C1D" w:rsidRPr="00BB672F" w:rsidRDefault="00BB672F" w:rsidP="005D74E9">
      <w:pPr>
        <w:pStyle w:val="ListParagraph"/>
        <w:numPr>
          <w:ilvl w:val="0"/>
          <w:numId w:val="6"/>
        </w:numPr>
        <w:rPr>
          <w:sz w:val="24"/>
          <w:szCs w:val="24"/>
        </w:rPr>
      </w:pPr>
      <w:r w:rsidRPr="00BB672F">
        <w:rPr>
          <w:sz w:val="24"/>
          <w:szCs w:val="24"/>
        </w:rPr>
        <w:t xml:space="preserve">evidence of key shifts; </w:t>
      </w:r>
    </w:p>
    <w:p w:rsidR="00786C1D" w:rsidRPr="00BB672F" w:rsidRDefault="00BB672F" w:rsidP="00786C1D">
      <w:pPr>
        <w:pStyle w:val="ListParagraph"/>
        <w:numPr>
          <w:ilvl w:val="0"/>
          <w:numId w:val="6"/>
        </w:numPr>
        <w:rPr>
          <w:sz w:val="24"/>
          <w:szCs w:val="24"/>
        </w:rPr>
      </w:pPr>
      <w:r w:rsidRPr="00BB672F">
        <w:rPr>
          <w:sz w:val="24"/>
          <w:szCs w:val="24"/>
        </w:rPr>
        <w:t xml:space="preserve">instructional supports to build proficiency and independence, and </w:t>
      </w:r>
    </w:p>
    <w:p w:rsidR="00786C1D" w:rsidRPr="00BB672F" w:rsidRDefault="00BB672F" w:rsidP="00786C1D">
      <w:pPr>
        <w:pStyle w:val="ListParagraph"/>
        <w:numPr>
          <w:ilvl w:val="0"/>
          <w:numId w:val="6"/>
        </w:numPr>
        <w:rPr>
          <w:sz w:val="24"/>
          <w:szCs w:val="24"/>
        </w:rPr>
      </w:pPr>
      <w:r w:rsidRPr="00BB672F">
        <w:rPr>
          <w:sz w:val="24"/>
          <w:szCs w:val="24"/>
        </w:rPr>
        <w:t>assessment design and purpose.</w:t>
      </w:r>
    </w:p>
    <w:p w:rsidR="005D74E9" w:rsidRPr="005D74E9" w:rsidRDefault="005D74E9" w:rsidP="005D74E9">
      <w:pPr>
        <w:pStyle w:val="ListParagraph"/>
        <w:rPr>
          <w:sz w:val="24"/>
          <w:szCs w:val="24"/>
        </w:rPr>
      </w:pPr>
    </w:p>
    <w:p w:rsidR="005D74E9" w:rsidRDefault="005D74E9" w:rsidP="005D74E9">
      <w:r w:rsidRPr="005D74E9">
        <w:rPr>
          <w:sz w:val="24"/>
          <w:szCs w:val="24"/>
        </w:rPr>
        <w:t xml:space="preserve">The ELA curriculum vetting rubric provides school system leaders with a resource to facilitate a review of their kindergarten through grade ten ELA curriculum.  The vetting process will highlight areas of strength and opportunities for growth in the curriculum to inform improvements. The Maryland State Department of Education (MSDE) will provide training to support the implementation of the rubric and vet the curriculum of school systems to ensure alignment to standards. A list of vetted curriculum can be found on the </w:t>
      </w:r>
      <w:hyperlink r:id="rId21" w:history="1">
        <w:r w:rsidRPr="005D74E9">
          <w:rPr>
            <w:rStyle w:val="Hyperlink"/>
            <w:sz w:val="24"/>
            <w:szCs w:val="24"/>
          </w:rPr>
          <w:t>Maryland Resource Hub</w:t>
        </w:r>
      </w:hyperlink>
      <w:r w:rsidRPr="005D74E9">
        <w:rPr>
          <w:sz w:val="24"/>
          <w:szCs w:val="24"/>
        </w:rPr>
        <w:t>.</w:t>
      </w:r>
      <w:r>
        <w:rPr>
          <w:rFonts w:ascii="Calibri" w:hAnsi="Calibri" w:cs="Calibri"/>
          <w:sz w:val="24"/>
          <w:szCs w:val="24"/>
        </w:rPr>
        <w:t xml:space="preserve"> </w:t>
      </w:r>
      <w:r>
        <w:br w:type="page"/>
      </w:r>
    </w:p>
    <w:p w:rsidR="001C03BB" w:rsidRDefault="001C03BB">
      <w:pPr>
        <w:widowControl w:val="0"/>
      </w:pPr>
    </w:p>
    <w:tbl>
      <w:tblPr>
        <w:tblStyle w:val="a"/>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90"/>
        <w:gridCol w:w="4230"/>
        <w:gridCol w:w="3690"/>
      </w:tblGrid>
      <w:tr w:rsidR="001C03BB" w:rsidTr="00982D13">
        <w:trPr>
          <w:trHeight w:val="510"/>
        </w:trPr>
        <w:tc>
          <w:tcPr>
            <w:tcW w:w="14410" w:type="dxa"/>
            <w:gridSpan w:val="3"/>
            <w:shd w:val="clear" w:color="auto" w:fill="auto"/>
            <w:tcMar>
              <w:top w:w="100" w:type="dxa"/>
              <w:left w:w="100" w:type="dxa"/>
              <w:bottom w:w="100" w:type="dxa"/>
              <w:right w:w="100" w:type="dxa"/>
            </w:tcMar>
          </w:tcPr>
          <w:p w:rsidR="001C03BB" w:rsidRDefault="005700F8">
            <w:pPr>
              <w:widowControl w:val="0"/>
              <w:spacing w:line="240" w:lineRule="auto"/>
            </w:pPr>
            <w:r>
              <w:rPr>
                <w:b/>
              </w:rPr>
              <w:t>Criteria 1</w:t>
            </w:r>
            <w:r w:rsidR="008648B7">
              <w:rPr>
                <w:b/>
              </w:rPr>
              <w:t>a</w:t>
            </w:r>
            <w:r w:rsidR="00757208">
              <w:rPr>
                <w:b/>
              </w:rPr>
              <w:t xml:space="preserve"> Background:</w:t>
            </w:r>
            <w:r w:rsidR="00757208">
              <w:t xml:space="preserve"> Lessons must reflect a wide range of text types and genres, as required by the standards. Knowledge built at one grade level should be expanded in other grade levels. </w:t>
            </w:r>
            <w:r w:rsidR="00982D13">
              <w:t>Lessons must reflect explicit instruction of foundational reading skills as required by standards.</w:t>
            </w:r>
            <w:r w:rsidR="00CC3265">
              <w:t xml:space="preserve"> </w:t>
            </w:r>
          </w:p>
        </w:tc>
      </w:tr>
      <w:tr w:rsidR="001C03BB">
        <w:tc>
          <w:tcPr>
            <w:tcW w:w="6490" w:type="dxa"/>
            <w:shd w:val="clear" w:color="auto" w:fill="CFE2F3"/>
            <w:tcMar>
              <w:top w:w="100" w:type="dxa"/>
              <w:left w:w="100" w:type="dxa"/>
              <w:bottom w:w="100" w:type="dxa"/>
              <w:right w:w="100" w:type="dxa"/>
            </w:tcMar>
          </w:tcPr>
          <w:p w:rsidR="001C03BB" w:rsidRPr="00982D13" w:rsidRDefault="00764706" w:rsidP="00982D13">
            <w:pPr>
              <w:widowControl w:val="0"/>
              <w:spacing w:line="240" w:lineRule="auto"/>
              <w:rPr>
                <w:b/>
              </w:rPr>
            </w:pPr>
            <w:r>
              <w:t>I</w:t>
            </w:r>
            <w:r w:rsidR="008648B7">
              <w:t>a</w:t>
            </w:r>
            <w:bookmarkStart w:id="1" w:name="_GoBack"/>
            <w:bookmarkEnd w:id="1"/>
            <w:r>
              <w:t>: Alignment to Maryland Colle</w:t>
            </w:r>
            <w:r w:rsidR="00786C1D">
              <w:t>ge- an</w:t>
            </w:r>
            <w:r w:rsidR="00982D13">
              <w:t xml:space="preserve">d Career-Ready Standards: </w:t>
            </w:r>
            <w:r w:rsidR="00982D13" w:rsidRPr="00982D13">
              <w:rPr>
                <w:b/>
              </w:rPr>
              <w:t>Kindergarten Foundational Skills: Phonological Awareness and Phonics</w:t>
            </w:r>
            <w:r w:rsidR="00E8738F">
              <w:rPr>
                <w:b/>
              </w:rPr>
              <w:t xml:space="preserve">   </w:t>
            </w:r>
            <w:r w:rsidR="00757208">
              <w:rPr>
                <w:i/>
                <w:color w:val="404040"/>
                <w:sz w:val="20"/>
                <w:szCs w:val="20"/>
              </w:rPr>
              <w:t>Criteria</w:t>
            </w:r>
          </w:p>
        </w:tc>
        <w:tc>
          <w:tcPr>
            <w:tcW w:w="4230" w:type="dxa"/>
            <w:shd w:val="clear" w:color="auto" w:fill="CFE2F3"/>
            <w:tcMar>
              <w:top w:w="100" w:type="dxa"/>
              <w:left w:w="100" w:type="dxa"/>
              <w:bottom w:w="100" w:type="dxa"/>
              <w:right w:w="100" w:type="dxa"/>
            </w:tcMar>
          </w:tcPr>
          <w:p w:rsidR="001C03BB" w:rsidRDefault="00757208">
            <w:pPr>
              <w:widowControl w:val="0"/>
              <w:spacing w:line="240" w:lineRule="auto"/>
            </w:pPr>
            <w:r w:rsidRPr="00982D13">
              <w:rPr>
                <w:b/>
              </w:rPr>
              <w:t>Strengths</w:t>
            </w:r>
            <w:r>
              <w:br/>
            </w: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rsidR="001C03BB" w:rsidRPr="00982D13" w:rsidRDefault="00757208">
            <w:pPr>
              <w:widowControl w:val="0"/>
              <w:spacing w:line="240" w:lineRule="auto"/>
              <w:rPr>
                <w:b/>
              </w:rPr>
            </w:pPr>
            <w:r w:rsidRPr="00982D13">
              <w:rPr>
                <w:b/>
              </w:rPr>
              <w:t>Challenges or Concerns</w:t>
            </w:r>
          </w:p>
          <w:p w:rsidR="001C03BB" w:rsidRDefault="00757208">
            <w:pPr>
              <w:widowControl w:val="0"/>
              <w:spacing w:line="240" w:lineRule="auto"/>
              <w:rPr>
                <w:sz w:val="18"/>
                <w:szCs w:val="18"/>
              </w:rPr>
            </w:pPr>
            <w:r>
              <w:rPr>
                <w:i/>
                <w:color w:val="404040"/>
                <w:sz w:val="18"/>
                <w:szCs w:val="18"/>
              </w:rPr>
              <w:t>Provide specific evidence or examples of areas for improvement.</w:t>
            </w:r>
          </w:p>
        </w:tc>
      </w:tr>
      <w:tr w:rsidR="001C03BB">
        <w:trPr>
          <w:trHeight w:val="3760"/>
        </w:trPr>
        <w:tc>
          <w:tcPr>
            <w:tcW w:w="6490" w:type="dxa"/>
            <w:shd w:val="clear" w:color="auto" w:fill="auto"/>
            <w:tcMar>
              <w:top w:w="100" w:type="dxa"/>
              <w:left w:w="100" w:type="dxa"/>
              <w:bottom w:w="100" w:type="dxa"/>
              <w:right w:w="100" w:type="dxa"/>
            </w:tcMar>
          </w:tcPr>
          <w:p w:rsidR="008633E4" w:rsidRDefault="008633E4" w:rsidP="008633E4">
            <w:pPr>
              <w:widowControl w:val="0"/>
              <w:spacing w:line="240" w:lineRule="auto"/>
            </w:pPr>
            <w:r w:rsidRPr="008633E4">
              <w:rPr>
                <w:b/>
              </w:rPr>
              <w:t>Phonics:</w:t>
            </w:r>
            <w:r>
              <w:t xml:space="preserve"> </w:t>
            </w:r>
            <w:r w:rsidR="00DF4DD5">
              <w:t>Curriculum</w:t>
            </w:r>
            <w:r>
              <w:t xml:space="preserve"> include</w:t>
            </w:r>
            <w:r w:rsidR="00DF4DD5">
              <w:t>s</w:t>
            </w:r>
            <w:r>
              <w:t xml:space="preserve"> explicit phonics instruction and word analysis skills in decoding words. CCR Anchor Standard 3</w:t>
            </w:r>
          </w:p>
          <w:p w:rsidR="00B75878" w:rsidRPr="00924D5E" w:rsidRDefault="00924D5E" w:rsidP="00B75878">
            <w:pPr>
              <w:pStyle w:val="ListParagraph"/>
              <w:widowControl w:val="0"/>
              <w:numPr>
                <w:ilvl w:val="0"/>
                <w:numId w:val="9"/>
              </w:numPr>
              <w:spacing w:line="240" w:lineRule="auto"/>
            </w:pPr>
            <w:r>
              <w:rPr>
                <w:sz w:val="20"/>
                <w:szCs w:val="20"/>
              </w:rPr>
              <w:t>Distinguish long and short vowel sound-spelling patterns when reading regularly spelled one-syllable words (CVC, CVCE, CVVC)</w:t>
            </w:r>
          </w:p>
          <w:p w:rsidR="00924D5E" w:rsidRPr="00924D5E" w:rsidRDefault="00924D5E" w:rsidP="00B75878">
            <w:pPr>
              <w:pStyle w:val="ListParagraph"/>
              <w:widowControl w:val="0"/>
              <w:numPr>
                <w:ilvl w:val="0"/>
                <w:numId w:val="9"/>
              </w:numPr>
              <w:spacing w:line="240" w:lineRule="auto"/>
            </w:pPr>
            <w:r>
              <w:rPr>
                <w:sz w:val="20"/>
                <w:szCs w:val="20"/>
              </w:rPr>
              <w:t>Know sound-spelling correspondences for additional common vowel teams</w:t>
            </w:r>
          </w:p>
          <w:p w:rsidR="00924D5E" w:rsidRPr="00924D5E" w:rsidRDefault="00924D5E" w:rsidP="00924D5E">
            <w:pPr>
              <w:pStyle w:val="ListParagraph"/>
              <w:widowControl w:val="0"/>
              <w:numPr>
                <w:ilvl w:val="0"/>
                <w:numId w:val="9"/>
              </w:numPr>
              <w:spacing w:line="240" w:lineRule="auto"/>
            </w:pPr>
            <w:r>
              <w:rPr>
                <w:sz w:val="20"/>
                <w:szCs w:val="20"/>
              </w:rPr>
              <w:t>Apply syllable division rules to decode regularly spelled two-syllable words with long vowels</w:t>
            </w:r>
          </w:p>
          <w:p w:rsidR="00924D5E" w:rsidRPr="00924D5E" w:rsidRDefault="00924D5E" w:rsidP="00924D5E">
            <w:pPr>
              <w:pStyle w:val="ListParagraph"/>
              <w:widowControl w:val="0"/>
              <w:numPr>
                <w:ilvl w:val="0"/>
                <w:numId w:val="9"/>
              </w:numPr>
              <w:spacing w:line="240" w:lineRule="auto"/>
            </w:pPr>
            <w:r>
              <w:rPr>
                <w:sz w:val="20"/>
                <w:szCs w:val="20"/>
              </w:rPr>
              <w:t>Decode words with common prefixes and suffixes (identify base word, prefix, suffix, and describe how the affix affects word meaning)</w:t>
            </w:r>
          </w:p>
          <w:p w:rsidR="00924D5E" w:rsidRPr="00924D5E" w:rsidRDefault="00924D5E" w:rsidP="00924D5E">
            <w:pPr>
              <w:pStyle w:val="ListParagraph"/>
              <w:widowControl w:val="0"/>
              <w:numPr>
                <w:ilvl w:val="0"/>
                <w:numId w:val="9"/>
              </w:numPr>
              <w:spacing w:line="240" w:lineRule="auto"/>
            </w:pPr>
            <w:r>
              <w:rPr>
                <w:sz w:val="20"/>
                <w:szCs w:val="20"/>
              </w:rPr>
              <w:t>Identify and read words with inconsistent but common spelling-sound correspondences</w:t>
            </w:r>
          </w:p>
          <w:p w:rsidR="00924D5E" w:rsidRPr="00924D5E" w:rsidRDefault="00924D5E" w:rsidP="00924D5E">
            <w:pPr>
              <w:pStyle w:val="ListParagraph"/>
              <w:widowControl w:val="0"/>
              <w:numPr>
                <w:ilvl w:val="0"/>
                <w:numId w:val="9"/>
              </w:numPr>
              <w:spacing w:line="240" w:lineRule="auto"/>
            </w:pPr>
            <w:r>
              <w:rPr>
                <w:sz w:val="20"/>
                <w:szCs w:val="20"/>
              </w:rPr>
              <w:t>Recognize and read grade-appropriate irregularly spelled words.</w:t>
            </w:r>
          </w:p>
          <w:p w:rsidR="00924D5E" w:rsidRPr="00CC3265" w:rsidRDefault="00924D5E" w:rsidP="00924D5E">
            <w:pPr>
              <w:pStyle w:val="ListParagraph"/>
              <w:widowControl w:val="0"/>
              <w:numPr>
                <w:ilvl w:val="0"/>
                <w:numId w:val="9"/>
              </w:numPr>
              <w:spacing w:line="240" w:lineRule="auto"/>
            </w:pPr>
            <w:r>
              <w:rPr>
                <w:sz w:val="20"/>
                <w:szCs w:val="20"/>
              </w:rPr>
              <w:t>Apply learned phonics patterns in connected, decodable text</w:t>
            </w:r>
          </w:p>
          <w:p w:rsidR="00CC3265" w:rsidRDefault="00CC3265" w:rsidP="00CC3265">
            <w:pPr>
              <w:widowControl w:val="0"/>
              <w:spacing w:line="240" w:lineRule="auto"/>
            </w:pPr>
            <w:r>
              <w:t>For essential skills and knowledge aligned to th</w:t>
            </w:r>
            <w:r w:rsidR="00515825">
              <w:t xml:space="preserve">is standard, please see the </w:t>
            </w:r>
            <w:hyperlink r:id="rId22" w:history="1">
              <w:r w:rsidR="00515825" w:rsidRPr="00515825">
                <w:rPr>
                  <w:rStyle w:val="Hyperlink"/>
                </w:rPr>
                <w:t>Maryland College-and Career-Ready Curriculum Framework</w:t>
              </w:r>
            </w:hyperlink>
          </w:p>
        </w:tc>
        <w:tc>
          <w:tcPr>
            <w:tcW w:w="4230" w:type="dxa"/>
            <w:shd w:val="clear" w:color="auto" w:fill="auto"/>
            <w:tcMar>
              <w:top w:w="100" w:type="dxa"/>
              <w:left w:w="100" w:type="dxa"/>
              <w:bottom w:w="100" w:type="dxa"/>
              <w:right w:w="100" w:type="dxa"/>
            </w:tcMar>
          </w:tcPr>
          <w:p w:rsidR="001C03BB" w:rsidRDefault="001C03BB">
            <w:pPr>
              <w:widowControl w:val="0"/>
              <w:spacing w:line="240" w:lineRule="auto"/>
              <w:rPr>
                <w:highlight w:val="yellow"/>
              </w:rPr>
            </w:pPr>
          </w:p>
          <w:p w:rsidR="001C03BB" w:rsidRDefault="001C03BB">
            <w:pPr>
              <w:widowControl w:val="0"/>
              <w:spacing w:line="240" w:lineRule="auto"/>
              <w:rPr>
                <w:highlight w:val="yellow"/>
              </w:rPr>
            </w:pPr>
          </w:p>
          <w:p w:rsidR="001C03BB" w:rsidRDefault="001C03BB">
            <w:pPr>
              <w:widowControl w:val="0"/>
              <w:spacing w:line="240" w:lineRule="auto"/>
            </w:pPr>
          </w:p>
          <w:p w:rsidR="001C03BB" w:rsidRDefault="001C03BB">
            <w:pPr>
              <w:widowControl w:val="0"/>
              <w:spacing w:line="240" w:lineRule="auto"/>
            </w:pPr>
          </w:p>
        </w:tc>
        <w:tc>
          <w:tcPr>
            <w:tcW w:w="3690" w:type="dxa"/>
            <w:shd w:val="clear" w:color="auto" w:fill="auto"/>
            <w:tcMar>
              <w:top w:w="100" w:type="dxa"/>
              <w:left w:w="100" w:type="dxa"/>
              <w:bottom w:w="100" w:type="dxa"/>
              <w:right w:w="100" w:type="dxa"/>
            </w:tcMar>
          </w:tcPr>
          <w:p w:rsidR="001C03BB" w:rsidRDefault="001C03BB">
            <w:pPr>
              <w:widowControl w:val="0"/>
              <w:spacing w:line="240" w:lineRule="auto"/>
            </w:pPr>
          </w:p>
        </w:tc>
      </w:tr>
      <w:tr w:rsidR="001C03BB">
        <w:trPr>
          <w:trHeight w:val="640"/>
        </w:trPr>
        <w:tc>
          <w:tcPr>
            <w:tcW w:w="14410" w:type="dxa"/>
            <w:gridSpan w:val="3"/>
            <w:shd w:val="clear" w:color="auto" w:fill="auto"/>
            <w:tcMar>
              <w:top w:w="100" w:type="dxa"/>
              <w:left w:w="100" w:type="dxa"/>
              <w:bottom w:w="100" w:type="dxa"/>
              <w:right w:w="100" w:type="dxa"/>
            </w:tcMar>
          </w:tcPr>
          <w:p w:rsidR="001C03BB" w:rsidRDefault="00757208" w:rsidP="005700F8">
            <w:pPr>
              <w:widowControl w:val="0"/>
              <w:spacing w:line="240" w:lineRule="auto"/>
            </w:pPr>
            <w:r>
              <w:rPr>
                <w:sz w:val="24"/>
                <w:szCs w:val="24"/>
              </w:rPr>
              <w:t>Qualitative Summary of Evidence</w:t>
            </w:r>
          </w:p>
        </w:tc>
      </w:tr>
      <w:tr w:rsidR="001C03BB" w:rsidTr="00E8738F">
        <w:trPr>
          <w:trHeight w:val="258"/>
        </w:trPr>
        <w:tc>
          <w:tcPr>
            <w:tcW w:w="14410" w:type="dxa"/>
            <w:gridSpan w:val="3"/>
            <w:shd w:val="clear" w:color="auto" w:fill="auto"/>
            <w:tcMar>
              <w:top w:w="100" w:type="dxa"/>
              <w:left w:w="100" w:type="dxa"/>
              <w:bottom w:w="100" w:type="dxa"/>
              <w:right w:w="100" w:type="dxa"/>
            </w:tcMar>
          </w:tcPr>
          <w:p w:rsidR="001C03BB" w:rsidRDefault="00757208">
            <w:pPr>
              <w:widowControl w:val="0"/>
              <w:spacing w:line="240" w:lineRule="auto"/>
              <w:rPr>
                <w:sz w:val="18"/>
                <w:szCs w:val="18"/>
              </w:rPr>
            </w:pPr>
            <w:r>
              <w:rPr>
                <w:b/>
                <w:sz w:val="18"/>
                <w:szCs w:val="18"/>
                <w:u w:val="single"/>
              </w:rPr>
              <w:t>Rating Scale for Part I</w:t>
            </w:r>
            <w:r>
              <w:rPr>
                <w:b/>
                <w:sz w:val="18"/>
                <w:szCs w:val="18"/>
              </w:rPr>
              <w:t>:</w:t>
            </w:r>
            <w:r>
              <w:rPr>
                <w:sz w:val="18"/>
                <w:szCs w:val="18"/>
              </w:rPr>
              <w:t xml:space="preserve"> Select only one to support your summary above. </w:t>
            </w:r>
          </w:p>
          <w:p w:rsidR="001C03BB" w:rsidRDefault="001C03BB">
            <w:pPr>
              <w:widowControl w:val="0"/>
              <w:spacing w:line="240" w:lineRule="auto"/>
              <w:ind w:left="720" w:hanging="360"/>
              <w:rPr>
                <w:sz w:val="18"/>
                <w:szCs w:val="18"/>
              </w:rPr>
            </w:pPr>
          </w:p>
          <w:p w:rsidR="001C03BB" w:rsidRPr="005700F8" w:rsidRDefault="008648B7">
            <w:pPr>
              <w:widowControl w:val="0"/>
              <w:spacing w:line="240" w:lineRule="auto"/>
              <w:ind w:left="720" w:hanging="360"/>
              <w:rPr>
                <w:sz w:val="20"/>
                <w:szCs w:val="20"/>
              </w:rPr>
            </w:pPr>
            <w:sdt>
              <w:sdtPr>
                <w:rPr>
                  <w:sz w:val="20"/>
                  <w:szCs w:val="20"/>
                </w:rPr>
                <w:id w:val="-60958388"/>
                <w14:checkbox>
                  <w14:checked w14:val="0"/>
                  <w14:checkedState w14:val="2612" w14:font="MS Gothic"/>
                  <w14:uncheckedState w14:val="2610" w14:font="MS Gothic"/>
                </w14:checkbox>
              </w:sdtPr>
              <w:sdtEndPr/>
              <w:sdtContent>
                <w:r w:rsidR="007E6022" w:rsidRPr="005700F8">
                  <w:rPr>
                    <w:rFonts w:ascii="MS Gothic" w:eastAsia="MS Gothic" w:hAnsi="MS Gothic" w:hint="eastAsia"/>
                    <w:sz w:val="20"/>
                    <w:szCs w:val="20"/>
                  </w:rPr>
                  <w:t>☐</w:t>
                </w:r>
              </w:sdtContent>
            </w:sdt>
            <w:r w:rsidR="00B509F0" w:rsidRPr="005700F8">
              <w:rPr>
                <w:b/>
                <w:sz w:val="20"/>
                <w:szCs w:val="20"/>
              </w:rPr>
              <w:t>4-</w:t>
            </w:r>
            <w:r w:rsidR="00B509F0" w:rsidRPr="005700F8">
              <w:rPr>
                <w:sz w:val="20"/>
                <w:szCs w:val="20"/>
              </w:rPr>
              <w:t xml:space="preserve"> Meets almost all or all of the criteria with strong connections between standards and lessons.</w:t>
            </w:r>
          </w:p>
          <w:p w:rsidR="00B509F0" w:rsidRPr="005700F8" w:rsidRDefault="008648B7">
            <w:pPr>
              <w:widowControl w:val="0"/>
              <w:spacing w:line="240" w:lineRule="auto"/>
              <w:ind w:left="720" w:hanging="360"/>
              <w:rPr>
                <w:sz w:val="20"/>
                <w:szCs w:val="20"/>
              </w:rPr>
            </w:pPr>
            <w:sdt>
              <w:sdtPr>
                <w:rPr>
                  <w:sz w:val="20"/>
                  <w:szCs w:val="20"/>
                </w:rPr>
                <w:id w:val="904029273"/>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3-</w:t>
            </w:r>
            <w:r w:rsidR="00B509F0" w:rsidRPr="005700F8">
              <w:rPr>
                <w:sz w:val="20"/>
                <w:szCs w:val="20"/>
              </w:rPr>
              <w:t xml:space="preserve"> Meets most of the criteria with strong connections between standards and lessons.</w:t>
            </w:r>
          </w:p>
          <w:p w:rsidR="00B509F0" w:rsidRPr="005700F8" w:rsidRDefault="008648B7">
            <w:pPr>
              <w:widowControl w:val="0"/>
              <w:spacing w:line="240" w:lineRule="auto"/>
              <w:ind w:left="720" w:hanging="360"/>
              <w:rPr>
                <w:sz w:val="20"/>
                <w:szCs w:val="20"/>
              </w:rPr>
            </w:pPr>
            <w:sdt>
              <w:sdtPr>
                <w:rPr>
                  <w:sz w:val="20"/>
                  <w:szCs w:val="20"/>
                </w:rPr>
                <w:id w:val="-901209473"/>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2</w:t>
            </w:r>
            <w:r w:rsidR="00B509F0" w:rsidRPr="005700F8">
              <w:rPr>
                <w:sz w:val="20"/>
                <w:szCs w:val="20"/>
              </w:rPr>
              <w:t>- Meets some of the criteria, but connection between standards and lesson is questionable.</w:t>
            </w:r>
          </w:p>
          <w:p w:rsidR="00B509F0" w:rsidRPr="005700F8" w:rsidRDefault="008648B7">
            <w:pPr>
              <w:widowControl w:val="0"/>
              <w:spacing w:line="240" w:lineRule="auto"/>
              <w:ind w:left="720" w:hanging="360"/>
              <w:rPr>
                <w:sz w:val="20"/>
                <w:szCs w:val="20"/>
              </w:rPr>
            </w:pPr>
            <w:sdt>
              <w:sdtPr>
                <w:rPr>
                  <w:sz w:val="20"/>
                  <w:szCs w:val="20"/>
                </w:rPr>
                <w:id w:val="93828217"/>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1</w:t>
            </w:r>
            <w:r w:rsidR="00B509F0" w:rsidRPr="005700F8">
              <w:rPr>
                <w:sz w:val="20"/>
                <w:szCs w:val="20"/>
              </w:rPr>
              <w:t xml:space="preserve">- Meets few of the criteria and connections between standards and lessons is vague or weak. </w:t>
            </w:r>
          </w:p>
          <w:p w:rsidR="001C03BB" w:rsidRDefault="008648B7" w:rsidP="00E8738F">
            <w:pPr>
              <w:widowControl w:val="0"/>
              <w:spacing w:line="240" w:lineRule="auto"/>
              <w:ind w:left="720" w:hanging="360"/>
            </w:pPr>
            <w:sdt>
              <w:sdtPr>
                <w:rPr>
                  <w:sz w:val="20"/>
                  <w:szCs w:val="20"/>
                </w:rPr>
                <w:id w:val="1079632093"/>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 xml:space="preserve">0- </w:t>
            </w:r>
            <w:r w:rsidR="00B509F0" w:rsidRPr="005700F8">
              <w:rPr>
                <w:sz w:val="20"/>
                <w:szCs w:val="20"/>
              </w:rPr>
              <w:t xml:space="preserve">Does not meet the criteria. </w:t>
            </w:r>
          </w:p>
        </w:tc>
      </w:tr>
      <w:tr w:rsidR="001C03BB">
        <w:trPr>
          <w:trHeight w:val="420"/>
        </w:trPr>
        <w:tc>
          <w:tcPr>
            <w:tcW w:w="14410" w:type="dxa"/>
            <w:gridSpan w:val="3"/>
            <w:shd w:val="clear" w:color="auto" w:fill="FFFFFF"/>
            <w:tcMar>
              <w:top w:w="100" w:type="dxa"/>
              <w:left w:w="100" w:type="dxa"/>
              <w:bottom w:w="100" w:type="dxa"/>
              <w:right w:w="100" w:type="dxa"/>
            </w:tcMar>
          </w:tcPr>
          <w:p w:rsidR="001C03BB" w:rsidRDefault="009C7A8E">
            <w:pPr>
              <w:widowControl w:val="0"/>
              <w:spacing w:line="240" w:lineRule="auto"/>
              <w:rPr>
                <w:sz w:val="20"/>
                <w:szCs w:val="20"/>
              </w:rPr>
            </w:pPr>
            <w:bookmarkStart w:id="2" w:name="_30j0zll" w:colFirst="0" w:colLast="0"/>
            <w:bookmarkEnd w:id="2"/>
            <w:r>
              <w:rPr>
                <w:b/>
              </w:rPr>
              <w:lastRenderedPageBreak/>
              <w:t>Criteria II</w:t>
            </w:r>
            <w:r w:rsidR="00757208">
              <w:rPr>
                <w:b/>
              </w:rPr>
              <w:t xml:space="preserve"> Background:</w:t>
            </w:r>
            <w:r w:rsidR="00757208">
              <w:rPr>
                <w:sz w:val="20"/>
                <w:szCs w:val="20"/>
              </w:rPr>
              <w:t xml:space="preserve">  </w:t>
            </w:r>
            <w:r w:rsidR="00757208">
              <w:t xml:space="preserve"> The Key shifts, as indicated in the adoption of the MCCRS (CCSS), are evident throughout. Thoughtful/</w:t>
            </w:r>
            <w:r w:rsidR="00207F8B">
              <w:t>s</w:t>
            </w:r>
            <w:r w:rsidR="00757208">
              <w:t>ustained focus on these shifts means students must have access to and r</w:t>
            </w:r>
            <w:r w:rsidR="00757208">
              <w:rPr>
                <w:color w:val="202020"/>
              </w:rPr>
              <w:t xml:space="preserve">egular practice with </w:t>
            </w:r>
            <w:r w:rsidR="00757208">
              <w:rPr>
                <w:color w:val="202020"/>
                <w:u w:val="single"/>
              </w:rPr>
              <w:t>complex text</w:t>
            </w:r>
            <w:r w:rsidR="00757208">
              <w:rPr>
                <w:color w:val="202020"/>
              </w:rPr>
              <w:t xml:space="preserve"> and related academic language, reading, writing, and language standards. Instruction explicitly calls for students’ responses to be </w:t>
            </w:r>
            <w:r w:rsidR="00757208">
              <w:rPr>
                <w:color w:val="202020"/>
                <w:u w:val="single"/>
              </w:rPr>
              <w:t>grounded in evidence from texts</w:t>
            </w:r>
            <w:r w:rsidR="00757208">
              <w:rPr>
                <w:color w:val="202020"/>
              </w:rPr>
              <w:t>, both literary and informational. (</w:t>
            </w:r>
            <w:hyperlink r:id="rId23">
              <w:r w:rsidR="00757208">
                <w:rPr>
                  <w:color w:val="0000FF"/>
                  <w:u w:val="single"/>
                </w:rPr>
                <w:t>corestandards.org</w:t>
              </w:r>
            </w:hyperlink>
            <w:r w:rsidR="00757208">
              <w:rPr>
                <w:color w:val="202020"/>
              </w:rPr>
              <w:t>)</w:t>
            </w:r>
          </w:p>
        </w:tc>
      </w:tr>
      <w:tr w:rsidR="001C03BB">
        <w:trPr>
          <w:trHeight w:val="620"/>
        </w:trPr>
        <w:tc>
          <w:tcPr>
            <w:tcW w:w="6490" w:type="dxa"/>
            <w:shd w:val="clear" w:color="auto" w:fill="CFE2F3"/>
            <w:tcMar>
              <w:top w:w="100" w:type="dxa"/>
              <w:left w:w="100" w:type="dxa"/>
              <w:bottom w:w="100" w:type="dxa"/>
              <w:right w:w="100" w:type="dxa"/>
            </w:tcMar>
          </w:tcPr>
          <w:p w:rsidR="001C03BB" w:rsidRDefault="00757208">
            <w:pPr>
              <w:widowControl w:val="0"/>
              <w:spacing w:line="240" w:lineRule="auto"/>
            </w:pPr>
            <w:r>
              <w:t xml:space="preserve">II: Key Shifts are Evident </w:t>
            </w:r>
            <w:r>
              <w:br/>
            </w:r>
            <w:r>
              <w:rPr>
                <w:i/>
                <w:color w:val="404040"/>
                <w:sz w:val="20"/>
                <w:szCs w:val="20"/>
              </w:rPr>
              <w:t>Criteria</w:t>
            </w:r>
          </w:p>
        </w:tc>
        <w:tc>
          <w:tcPr>
            <w:tcW w:w="4230" w:type="dxa"/>
            <w:shd w:val="clear" w:color="auto" w:fill="CFE2F3"/>
            <w:tcMar>
              <w:top w:w="100" w:type="dxa"/>
              <w:left w:w="100" w:type="dxa"/>
              <w:bottom w:w="100" w:type="dxa"/>
              <w:right w:w="100" w:type="dxa"/>
            </w:tcMar>
          </w:tcPr>
          <w:p w:rsidR="001C03BB" w:rsidRDefault="00757208">
            <w:pPr>
              <w:widowControl w:val="0"/>
              <w:spacing w:line="240" w:lineRule="auto"/>
            </w:pPr>
            <w:r>
              <w:t>Strengths</w:t>
            </w:r>
            <w:r>
              <w:br/>
            </w: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rsidR="001C03BB" w:rsidRDefault="00757208">
            <w:pPr>
              <w:widowControl w:val="0"/>
              <w:spacing w:line="240" w:lineRule="auto"/>
            </w:pPr>
            <w:r>
              <w:t>Challenges and Concerns</w:t>
            </w:r>
            <w:r>
              <w:br/>
            </w:r>
            <w:r>
              <w:rPr>
                <w:i/>
                <w:color w:val="404040"/>
                <w:sz w:val="18"/>
                <w:szCs w:val="18"/>
              </w:rPr>
              <w:t>Provide specific evidence or examples of areas for improvement.</w:t>
            </w:r>
          </w:p>
        </w:tc>
      </w:tr>
      <w:tr w:rsidR="001C03BB">
        <w:trPr>
          <w:trHeight w:val="1160"/>
        </w:trPr>
        <w:tc>
          <w:tcPr>
            <w:tcW w:w="6490" w:type="dxa"/>
            <w:vMerge w:val="restart"/>
          </w:tcPr>
          <w:p w:rsidR="00DF4DD5" w:rsidRPr="00DF4DD5" w:rsidRDefault="00DF4DD5" w:rsidP="00DF4DD5">
            <w:pPr>
              <w:spacing w:line="240" w:lineRule="auto"/>
              <w:contextualSpacing/>
            </w:pPr>
            <w:r>
              <w:rPr>
                <w:b/>
              </w:rPr>
              <w:t>Curriculum-</w:t>
            </w:r>
          </w:p>
          <w:p w:rsidR="001C03BB" w:rsidRDefault="00757208">
            <w:pPr>
              <w:numPr>
                <w:ilvl w:val="0"/>
                <w:numId w:val="4"/>
              </w:numPr>
              <w:spacing w:line="240" w:lineRule="auto"/>
              <w:contextualSpacing/>
            </w:pPr>
            <w:r>
              <w:rPr>
                <w:b/>
              </w:rPr>
              <w:t>Text-based evidence</w:t>
            </w:r>
            <w:r>
              <w:t xml:space="preserve">: </w:t>
            </w:r>
            <w:r w:rsidR="00E6166F">
              <w:t>F</w:t>
            </w:r>
            <w:r>
              <w:t>acilitate</w:t>
            </w:r>
            <w:r w:rsidR="00D12CAD">
              <w:t>s</w:t>
            </w:r>
            <w:r>
              <w:t xml:space="preserve"> rich text-based discussions and responses driven by thought-provoking questions about common texts (including read alouds and other media).</w:t>
            </w:r>
          </w:p>
          <w:p w:rsidR="001C03BB" w:rsidRDefault="00757208">
            <w:pPr>
              <w:numPr>
                <w:ilvl w:val="0"/>
                <w:numId w:val="5"/>
              </w:numPr>
              <w:spacing w:line="240" w:lineRule="auto"/>
              <w:contextualSpacing/>
            </w:pPr>
            <w:r>
              <w:rPr>
                <w:b/>
              </w:rPr>
              <w:t>Writing from sources:</w:t>
            </w:r>
            <w:r>
              <w:t xml:space="preserve"> </w:t>
            </w:r>
            <w:r w:rsidR="00E6166F">
              <w:t>P</w:t>
            </w:r>
            <w:r>
              <w:t>rovide</w:t>
            </w:r>
            <w:r w:rsidR="00D12CAD">
              <w:t>s</w:t>
            </w:r>
            <w:r>
              <w:t xml:space="preserve"> opportunities for students to routinely draw evidence from texts and present ideas and information through writing and/or drawing and speaking.</w:t>
            </w:r>
          </w:p>
          <w:p w:rsidR="001C03BB" w:rsidRDefault="00757208">
            <w:pPr>
              <w:numPr>
                <w:ilvl w:val="0"/>
                <w:numId w:val="1"/>
              </w:numPr>
              <w:spacing w:line="240" w:lineRule="auto"/>
              <w:contextualSpacing/>
            </w:pPr>
            <w:r>
              <w:rPr>
                <w:b/>
              </w:rPr>
              <w:t>Academic vocabulary:</w:t>
            </w:r>
            <w:r>
              <w:t xml:space="preserve"> </w:t>
            </w:r>
            <w:r w:rsidR="00E6166F">
              <w:t>F</w:t>
            </w:r>
            <w:r>
              <w:t>ocus</w:t>
            </w:r>
            <w:r w:rsidR="00D12CAD">
              <w:t>es</w:t>
            </w:r>
            <w:r>
              <w:t xml:space="preserve"> on explicitly building students’ vocabulary and concepts of syntax.</w:t>
            </w:r>
          </w:p>
          <w:p w:rsidR="001C03BB" w:rsidRDefault="00757208">
            <w:pPr>
              <w:numPr>
                <w:ilvl w:val="0"/>
                <w:numId w:val="1"/>
              </w:numPr>
              <w:spacing w:line="240" w:lineRule="auto"/>
              <w:contextualSpacing/>
            </w:pPr>
            <w:r>
              <w:rPr>
                <w:b/>
              </w:rPr>
              <w:t>Balanced of Informational to Literary text:</w:t>
            </w:r>
            <w:r>
              <w:t xml:space="preserve"> In K-2, there is a 50/50 balance of informational and literary texts. </w:t>
            </w:r>
          </w:p>
        </w:tc>
        <w:tc>
          <w:tcPr>
            <w:tcW w:w="4230" w:type="dxa"/>
            <w:vMerge w:val="restart"/>
            <w:shd w:val="clear" w:color="auto" w:fill="auto"/>
            <w:tcMar>
              <w:top w:w="100" w:type="dxa"/>
              <w:left w:w="100" w:type="dxa"/>
              <w:bottom w:w="100" w:type="dxa"/>
              <w:right w:w="100" w:type="dxa"/>
            </w:tcMar>
          </w:tcPr>
          <w:p w:rsidR="001C03BB" w:rsidRDefault="001C03BB">
            <w:pPr>
              <w:widowControl w:val="0"/>
              <w:tabs>
                <w:tab w:val="left" w:pos="3666"/>
              </w:tabs>
              <w:spacing w:line="240" w:lineRule="auto"/>
            </w:pPr>
          </w:p>
        </w:tc>
        <w:tc>
          <w:tcPr>
            <w:tcW w:w="3690" w:type="dxa"/>
            <w:vMerge w:val="restart"/>
            <w:shd w:val="clear" w:color="auto" w:fill="auto"/>
            <w:tcMar>
              <w:top w:w="100" w:type="dxa"/>
              <w:left w:w="100" w:type="dxa"/>
              <w:bottom w:w="100" w:type="dxa"/>
              <w:right w:w="100" w:type="dxa"/>
            </w:tcMar>
          </w:tcPr>
          <w:p w:rsidR="001C03BB" w:rsidRDefault="001C03BB">
            <w:pPr>
              <w:widowControl w:val="0"/>
              <w:spacing w:line="240" w:lineRule="auto"/>
            </w:pPr>
          </w:p>
        </w:tc>
      </w:tr>
      <w:tr w:rsidR="001C03BB">
        <w:trPr>
          <w:trHeight w:val="1160"/>
        </w:trPr>
        <w:tc>
          <w:tcPr>
            <w:tcW w:w="6490" w:type="dxa"/>
            <w:vMerge/>
          </w:tcPr>
          <w:p w:rsidR="001C03BB" w:rsidRDefault="001C03BB">
            <w:pPr>
              <w:widowControl w:val="0"/>
            </w:pPr>
          </w:p>
        </w:tc>
        <w:tc>
          <w:tcPr>
            <w:tcW w:w="4230" w:type="dxa"/>
            <w:vMerge/>
            <w:shd w:val="clear" w:color="auto" w:fill="auto"/>
            <w:tcMar>
              <w:top w:w="100" w:type="dxa"/>
              <w:left w:w="100" w:type="dxa"/>
              <w:bottom w:w="100" w:type="dxa"/>
              <w:right w:w="100" w:type="dxa"/>
            </w:tcMar>
          </w:tcPr>
          <w:p w:rsidR="001C03BB" w:rsidRDefault="001C03BB">
            <w:pPr>
              <w:widowControl w:val="0"/>
            </w:pPr>
          </w:p>
        </w:tc>
        <w:tc>
          <w:tcPr>
            <w:tcW w:w="3690" w:type="dxa"/>
            <w:vMerge/>
            <w:shd w:val="clear" w:color="auto" w:fill="auto"/>
            <w:tcMar>
              <w:top w:w="100" w:type="dxa"/>
              <w:left w:w="100" w:type="dxa"/>
              <w:bottom w:w="100" w:type="dxa"/>
              <w:right w:w="100" w:type="dxa"/>
            </w:tcMar>
          </w:tcPr>
          <w:p w:rsidR="001C03BB" w:rsidRDefault="001C03BB">
            <w:pPr>
              <w:widowControl w:val="0"/>
            </w:pPr>
          </w:p>
          <w:p w:rsidR="001C03BB" w:rsidRDefault="001C03BB">
            <w:pPr>
              <w:widowControl w:val="0"/>
            </w:pPr>
          </w:p>
          <w:p w:rsidR="001C03BB" w:rsidRDefault="001C03BB">
            <w:pPr>
              <w:spacing w:line="240" w:lineRule="auto"/>
              <w:rPr>
                <w:rFonts w:ascii="Arial Narrow" w:eastAsia="Arial Narrow" w:hAnsi="Arial Narrow" w:cs="Arial Narrow"/>
                <w:sz w:val="24"/>
                <w:szCs w:val="24"/>
              </w:rPr>
            </w:pPr>
          </w:p>
          <w:p w:rsidR="001C03BB" w:rsidRDefault="001C03BB">
            <w:pPr>
              <w:widowControl w:val="0"/>
              <w:spacing w:line="240" w:lineRule="auto"/>
            </w:pPr>
          </w:p>
          <w:p w:rsidR="001C03BB" w:rsidRDefault="001C03BB">
            <w:pPr>
              <w:widowControl w:val="0"/>
              <w:spacing w:line="240" w:lineRule="auto"/>
            </w:pPr>
          </w:p>
        </w:tc>
      </w:tr>
      <w:tr w:rsidR="001C03BB" w:rsidTr="00B509F0">
        <w:trPr>
          <w:trHeight w:val="609"/>
        </w:trPr>
        <w:tc>
          <w:tcPr>
            <w:tcW w:w="6490" w:type="dxa"/>
            <w:vMerge/>
          </w:tcPr>
          <w:p w:rsidR="001C03BB" w:rsidRDefault="001C03BB">
            <w:pPr>
              <w:widowControl w:val="0"/>
            </w:pPr>
          </w:p>
        </w:tc>
        <w:tc>
          <w:tcPr>
            <w:tcW w:w="4230" w:type="dxa"/>
            <w:vMerge/>
            <w:shd w:val="clear" w:color="auto" w:fill="auto"/>
            <w:tcMar>
              <w:top w:w="100" w:type="dxa"/>
              <w:left w:w="100" w:type="dxa"/>
              <w:bottom w:w="100" w:type="dxa"/>
              <w:right w:w="100" w:type="dxa"/>
            </w:tcMar>
          </w:tcPr>
          <w:p w:rsidR="001C03BB" w:rsidRDefault="001C03BB">
            <w:pPr>
              <w:widowControl w:val="0"/>
            </w:pPr>
          </w:p>
        </w:tc>
        <w:tc>
          <w:tcPr>
            <w:tcW w:w="3690" w:type="dxa"/>
            <w:vMerge/>
            <w:shd w:val="clear" w:color="auto" w:fill="auto"/>
            <w:tcMar>
              <w:top w:w="100" w:type="dxa"/>
              <w:left w:w="100" w:type="dxa"/>
              <w:bottom w:w="100" w:type="dxa"/>
              <w:right w:w="100" w:type="dxa"/>
            </w:tcMar>
          </w:tcPr>
          <w:p w:rsidR="001C03BB" w:rsidRDefault="001C03BB">
            <w:pPr>
              <w:widowControl w:val="0"/>
            </w:pPr>
          </w:p>
          <w:p w:rsidR="001C03BB" w:rsidRDefault="001C03BB">
            <w:pPr>
              <w:widowControl w:val="0"/>
            </w:pPr>
          </w:p>
          <w:p w:rsidR="001C03BB" w:rsidRDefault="001C03BB">
            <w:pPr>
              <w:spacing w:line="240" w:lineRule="auto"/>
              <w:rPr>
                <w:rFonts w:ascii="Arial Narrow" w:eastAsia="Arial Narrow" w:hAnsi="Arial Narrow" w:cs="Arial Narrow"/>
                <w:sz w:val="24"/>
                <w:szCs w:val="24"/>
              </w:rPr>
            </w:pPr>
          </w:p>
          <w:p w:rsidR="001C03BB" w:rsidRDefault="001C03BB">
            <w:pPr>
              <w:widowControl w:val="0"/>
              <w:spacing w:line="240" w:lineRule="auto"/>
            </w:pPr>
          </w:p>
          <w:p w:rsidR="001C03BB" w:rsidRDefault="001C03BB">
            <w:pPr>
              <w:widowControl w:val="0"/>
              <w:spacing w:line="240" w:lineRule="auto"/>
            </w:pPr>
          </w:p>
        </w:tc>
      </w:tr>
      <w:tr w:rsidR="001C03BB">
        <w:trPr>
          <w:trHeight w:val="1200"/>
        </w:trPr>
        <w:tc>
          <w:tcPr>
            <w:tcW w:w="14410" w:type="dxa"/>
            <w:gridSpan w:val="3"/>
            <w:shd w:val="clear" w:color="auto" w:fill="auto"/>
            <w:tcMar>
              <w:top w:w="100" w:type="dxa"/>
              <w:left w:w="100" w:type="dxa"/>
              <w:bottom w:w="100" w:type="dxa"/>
              <w:right w:w="100" w:type="dxa"/>
            </w:tcMar>
          </w:tcPr>
          <w:p w:rsidR="001C03BB" w:rsidRPr="00B016DA" w:rsidRDefault="00757208" w:rsidP="00B016DA">
            <w:pPr>
              <w:widowControl w:val="0"/>
              <w:spacing w:line="240" w:lineRule="auto"/>
              <w:rPr>
                <w:sz w:val="24"/>
                <w:szCs w:val="24"/>
              </w:rPr>
            </w:pPr>
            <w:r>
              <w:rPr>
                <w:sz w:val="24"/>
                <w:szCs w:val="24"/>
              </w:rPr>
              <w:t>Qualitative Summary of Evidence</w:t>
            </w:r>
          </w:p>
        </w:tc>
      </w:tr>
      <w:tr w:rsidR="001C03BB">
        <w:trPr>
          <w:trHeight w:val="580"/>
        </w:trPr>
        <w:tc>
          <w:tcPr>
            <w:tcW w:w="14410" w:type="dxa"/>
            <w:gridSpan w:val="3"/>
            <w:shd w:val="clear" w:color="auto" w:fill="auto"/>
            <w:tcMar>
              <w:top w:w="100" w:type="dxa"/>
              <w:left w:w="100" w:type="dxa"/>
              <w:bottom w:w="100" w:type="dxa"/>
              <w:right w:w="100" w:type="dxa"/>
            </w:tcMar>
          </w:tcPr>
          <w:p w:rsidR="001C03BB" w:rsidRDefault="00757208">
            <w:pPr>
              <w:widowControl w:val="0"/>
              <w:spacing w:line="240" w:lineRule="auto"/>
              <w:rPr>
                <w:sz w:val="18"/>
                <w:szCs w:val="18"/>
              </w:rPr>
            </w:pPr>
            <w:r>
              <w:rPr>
                <w:b/>
                <w:sz w:val="18"/>
                <w:szCs w:val="18"/>
                <w:u w:val="single"/>
              </w:rPr>
              <w:t>Rating Scale for Part II</w:t>
            </w:r>
            <w:r>
              <w:rPr>
                <w:b/>
                <w:sz w:val="18"/>
                <w:szCs w:val="18"/>
              </w:rPr>
              <w:t>:</w:t>
            </w:r>
            <w:r>
              <w:rPr>
                <w:sz w:val="18"/>
                <w:szCs w:val="18"/>
              </w:rPr>
              <w:t xml:space="preserve"> Select only one to support your summary above. </w:t>
            </w:r>
          </w:p>
          <w:p w:rsidR="001C03BB" w:rsidRDefault="001C03BB">
            <w:pPr>
              <w:widowControl w:val="0"/>
              <w:spacing w:line="240" w:lineRule="auto"/>
              <w:ind w:left="720" w:hanging="360"/>
              <w:rPr>
                <w:sz w:val="18"/>
                <w:szCs w:val="18"/>
              </w:rPr>
            </w:pPr>
          </w:p>
          <w:p w:rsidR="00B509F0" w:rsidRPr="00B509F0" w:rsidRDefault="008648B7" w:rsidP="00B509F0">
            <w:pPr>
              <w:widowControl w:val="0"/>
              <w:spacing w:line="240" w:lineRule="auto"/>
              <w:ind w:left="720" w:hanging="360"/>
            </w:pPr>
            <w:sdt>
              <w:sdtPr>
                <w:id w:val="-851949575"/>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4-</w:t>
            </w:r>
            <w:r w:rsidR="00B509F0" w:rsidRPr="00B509F0">
              <w:t xml:space="preserve"> Meets almost all or all of the criteria with strong connections between standards and lessons.</w:t>
            </w:r>
          </w:p>
          <w:p w:rsidR="00B509F0" w:rsidRDefault="008648B7" w:rsidP="00B509F0">
            <w:pPr>
              <w:widowControl w:val="0"/>
              <w:spacing w:line="240" w:lineRule="auto"/>
              <w:ind w:left="720" w:hanging="360"/>
            </w:pPr>
            <w:sdt>
              <w:sdtPr>
                <w:id w:val="1575238565"/>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3-</w:t>
            </w:r>
            <w:r w:rsidR="00B509F0">
              <w:t xml:space="preserve"> Meets most of the criteria with strong connections between standards and lessons.</w:t>
            </w:r>
          </w:p>
          <w:p w:rsidR="00B509F0" w:rsidRDefault="008648B7" w:rsidP="00B509F0">
            <w:pPr>
              <w:widowControl w:val="0"/>
              <w:spacing w:line="240" w:lineRule="auto"/>
              <w:ind w:left="720" w:hanging="360"/>
            </w:pPr>
            <w:sdt>
              <w:sdtPr>
                <w:id w:val="-2081665428"/>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2</w:t>
            </w:r>
            <w:r w:rsidR="00B509F0">
              <w:t>- Meets some of the criteria, but connection between standards and lesson is questionable.</w:t>
            </w:r>
          </w:p>
          <w:p w:rsidR="00B509F0" w:rsidRDefault="008648B7" w:rsidP="00B509F0">
            <w:pPr>
              <w:widowControl w:val="0"/>
              <w:spacing w:line="240" w:lineRule="auto"/>
              <w:ind w:left="720" w:hanging="360"/>
            </w:pPr>
            <w:sdt>
              <w:sdtPr>
                <w:id w:val="-828431219"/>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1</w:t>
            </w:r>
            <w:r w:rsidR="00B509F0">
              <w:t xml:space="preserve">- Meets few of the criteria and connections between standards and lessons is vague or weak. </w:t>
            </w:r>
          </w:p>
          <w:p w:rsidR="001C03BB" w:rsidRDefault="008648B7" w:rsidP="00B016DA">
            <w:pPr>
              <w:widowControl w:val="0"/>
              <w:spacing w:line="240" w:lineRule="auto"/>
              <w:ind w:left="720" w:hanging="360"/>
            </w:pPr>
            <w:sdt>
              <w:sdtPr>
                <w:id w:val="2055741138"/>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 xml:space="preserve">0- </w:t>
            </w:r>
            <w:r w:rsidR="00B509F0">
              <w:t xml:space="preserve">Does not meet the criteria. </w:t>
            </w:r>
          </w:p>
          <w:p w:rsidR="00B016DA" w:rsidRDefault="00B016DA" w:rsidP="00B016DA">
            <w:pPr>
              <w:widowControl w:val="0"/>
              <w:spacing w:line="240" w:lineRule="auto"/>
              <w:ind w:left="720" w:hanging="360"/>
              <w:rPr>
                <w:sz w:val="18"/>
                <w:szCs w:val="18"/>
              </w:rPr>
            </w:pPr>
          </w:p>
          <w:p w:rsidR="00B016DA" w:rsidRDefault="00B016DA" w:rsidP="00B016DA">
            <w:pPr>
              <w:widowControl w:val="0"/>
              <w:spacing w:line="240" w:lineRule="auto"/>
              <w:ind w:left="720" w:hanging="360"/>
              <w:rPr>
                <w:sz w:val="18"/>
                <w:szCs w:val="18"/>
              </w:rPr>
            </w:pPr>
          </w:p>
          <w:p w:rsidR="00B016DA" w:rsidRDefault="00B016DA" w:rsidP="00B016DA">
            <w:pPr>
              <w:widowControl w:val="0"/>
              <w:spacing w:line="240" w:lineRule="auto"/>
              <w:ind w:left="720" w:hanging="360"/>
              <w:rPr>
                <w:sz w:val="18"/>
                <w:szCs w:val="18"/>
              </w:rPr>
            </w:pPr>
          </w:p>
        </w:tc>
      </w:tr>
      <w:tr w:rsidR="001C03BB" w:rsidTr="009C7A8E">
        <w:trPr>
          <w:trHeight w:val="1158"/>
        </w:trPr>
        <w:tc>
          <w:tcPr>
            <w:tcW w:w="14410" w:type="dxa"/>
            <w:gridSpan w:val="3"/>
            <w:shd w:val="clear" w:color="auto" w:fill="auto"/>
            <w:tcMar>
              <w:top w:w="100" w:type="dxa"/>
              <w:left w:w="100" w:type="dxa"/>
              <w:bottom w:w="100" w:type="dxa"/>
              <w:right w:w="100" w:type="dxa"/>
            </w:tcMar>
          </w:tcPr>
          <w:p w:rsidR="001C03BB" w:rsidRDefault="009C7A8E" w:rsidP="00570074">
            <w:pPr>
              <w:widowControl w:val="0"/>
              <w:spacing w:line="240" w:lineRule="auto"/>
            </w:pPr>
            <w:r>
              <w:rPr>
                <w:b/>
              </w:rPr>
              <w:t>Criteria III</w:t>
            </w:r>
            <w:r w:rsidR="00757208">
              <w:rPr>
                <w:b/>
              </w:rPr>
              <w:t xml:space="preserve"> Background:</w:t>
            </w:r>
            <w:r w:rsidR="00757208">
              <w:t xml:space="preserve"> While scaffolds are not a part of the standards themselves, it is important to meet the range of student needs in the classroom. Supports and scaffolds should </w:t>
            </w:r>
            <w:r w:rsidR="00570074">
              <w:t xml:space="preserve">include small group instruction informed by the assessment of foundational skills including phonological awareness and phonics. </w:t>
            </w:r>
            <w:r w:rsidR="00757208">
              <w:t xml:space="preserve">All scaffolding and supports require ongoing formal and informal assessments that provide multiple opportunities for students to demonstrate their proficiency, both cooperatively and independently. Scaffolding is not just intended for struggling students, but also for students who are ready for above grade-level work. </w:t>
            </w:r>
          </w:p>
        </w:tc>
      </w:tr>
      <w:tr w:rsidR="001C03BB">
        <w:trPr>
          <w:trHeight w:val="680"/>
        </w:trPr>
        <w:tc>
          <w:tcPr>
            <w:tcW w:w="6490" w:type="dxa"/>
            <w:shd w:val="clear" w:color="auto" w:fill="CFE2F3"/>
            <w:tcMar>
              <w:top w:w="100" w:type="dxa"/>
              <w:left w:w="100" w:type="dxa"/>
              <w:bottom w:w="100" w:type="dxa"/>
              <w:right w:w="100" w:type="dxa"/>
            </w:tcMar>
          </w:tcPr>
          <w:p w:rsidR="001C03BB" w:rsidRDefault="00757208">
            <w:pPr>
              <w:widowControl w:val="0"/>
              <w:spacing w:line="240" w:lineRule="auto"/>
            </w:pPr>
            <w:r>
              <w:t>III</w:t>
            </w:r>
            <w:r w:rsidR="00CB1222">
              <w:t>:</w:t>
            </w:r>
            <w:r>
              <w:t xml:space="preserve"> </w:t>
            </w:r>
            <w:r w:rsidRPr="009C7A8E">
              <w:rPr>
                <w:b/>
              </w:rPr>
              <w:t>Instructional Supports Bui</w:t>
            </w:r>
            <w:r w:rsidR="00B34386" w:rsidRPr="009C7A8E">
              <w:rPr>
                <w:b/>
              </w:rPr>
              <w:t>ld Proficiency and Independence</w:t>
            </w:r>
            <w:r>
              <w:br/>
            </w:r>
            <w:r>
              <w:rPr>
                <w:i/>
                <w:color w:val="404040"/>
                <w:sz w:val="20"/>
                <w:szCs w:val="20"/>
              </w:rPr>
              <w:t>Criteria</w:t>
            </w:r>
          </w:p>
        </w:tc>
        <w:tc>
          <w:tcPr>
            <w:tcW w:w="4230" w:type="dxa"/>
            <w:shd w:val="clear" w:color="auto" w:fill="CFE2F3"/>
            <w:tcMar>
              <w:top w:w="100" w:type="dxa"/>
              <w:left w:w="100" w:type="dxa"/>
              <w:bottom w:w="100" w:type="dxa"/>
              <w:right w:w="100" w:type="dxa"/>
            </w:tcMar>
          </w:tcPr>
          <w:p w:rsidR="001C03BB" w:rsidRPr="009C7A8E" w:rsidRDefault="00757208">
            <w:pPr>
              <w:widowControl w:val="0"/>
              <w:spacing w:line="240" w:lineRule="auto"/>
              <w:rPr>
                <w:b/>
              </w:rPr>
            </w:pPr>
            <w:r w:rsidRPr="009C7A8E">
              <w:rPr>
                <w:b/>
              </w:rPr>
              <w:t>Strengths</w:t>
            </w:r>
          </w:p>
          <w:p w:rsidR="001C03BB" w:rsidRDefault="00757208">
            <w:pPr>
              <w:widowControl w:val="0"/>
              <w:spacing w:line="240" w:lineRule="auto"/>
              <w:rPr>
                <w:sz w:val="18"/>
                <w:szCs w:val="18"/>
              </w:rPr>
            </w:pP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rsidR="001C03BB" w:rsidRPr="009C7A8E" w:rsidRDefault="00757208">
            <w:pPr>
              <w:widowControl w:val="0"/>
              <w:spacing w:line="240" w:lineRule="auto"/>
              <w:rPr>
                <w:b/>
              </w:rPr>
            </w:pPr>
            <w:r w:rsidRPr="009C7A8E">
              <w:rPr>
                <w:b/>
              </w:rPr>
              <w:t>Challenges or Concerns</w:t>
            </w:r>
          </w:p>
          <w:p w:rsidR="001C03BB" w:rsidRDefault="00757208">
            <w:pPr>
              <w:rPr>
                <w:sz w:val="18"/>
                <w:szCs w:val="18"/>
              </w:rPr>
            </w:pPr>
            <w:r>
              <w:rPr>
                <w:i/>
                <w:color w:val="404040"/>
                <w:sz w:val="18"/>
                <w:szCs w:val="18"/>
              </w:rPr>
              <w:t>Provide specific evidence or examples of areas for improvement.</w:t>
            </w:r>
          </w:p>
        </w:tc>
      </w:tr>
      <w:tr w:rsidR="001C03BB" w:rsidTr="00D12CAD">
        <w:trPr>
          <w:trHeight w:val="3390"/>
        </w:trPr>
        <w:tc>
          <w:tcPr>
            <w:tcW w:w="6490" w:type="dxa"/>
            <w:shd w:val="clear" w:color="auto" w:fill="auto"/>
            <w:tcMar>
              <w:top w:w="100" w:type="dxa"/>
              <w:left w:w="100" w:type="dxa"/>
              <w:bottom w:w="100" w:type="dxa"/>
              <w:right w:w="100" w:type="dxa"/>
            </w:tcMar>
          </w:tcPr>
          <w:p w:rsidR="00DF4DD5" w:rsidRPr="00DF4DD5" w:rsidRDefault="00DF4DD5" w:rsidP="00DF4DD5">
            <w:pPr>
              <w:widowControl w:val="0"/>
              <w:spacing w:line="240" w:lineRule="auto"/>
              <w:contextualSpacing/>
            </w:pPr>
            <w:r>
              <w:rPr>
                <w:b/>
              </w:rPr>
              <w:t>Curriculum-</w:t>
            </w:r>
          </w:p>
          <w:p w:rsidR="001C03BB" w:rsidRDefault="00757208">
            <w:pPr>
              <w:widowControl w:val="0"/>
              <w:numPr>
                <w:ilvl w:val="0"/>
                <w:numId w:val="2"/>
              </w:numPr>
              <w:spacing w:line="240" w:lineRule="auto"/>
              <w:contextualSpacing/>
            </w:pPr>
            <w:r>
              <w:rPr>
                <w:b/>
              </w:rPr>
              <w:t>Equal Access to Text:</w:t>
            </w:r>
            <w:r>
              <w:t xml:space="preserve"> </w:t>
            </w:r>
            <w:r w:rsidR="00E6166F">
              <w:t>P</w:t>
            </w:r>
            <w:r>
              <w:t>rovide</w:t>
            </w:r>
            <w:r w:rsidR="004F7362">
              <w:t>s</w:t>
            </w:r>
            <w:r>
              <w:t xml:space="preserve"> all students with multiple opportunities to engage with text (including read alouds) of appropriate complexity for the grade level.</w:t>
            </w:r>
          </w:p>
          <w:p w:rsidR="001C03BB" w:rsidRDefault="00757208">
            <w:pPr>
              <w:widowControl w:val="0"/>
              <w:numPr>
                <w:ilvl w:val="0"/>
                <w:numId w:val="2"/>
              </w:numPr>
              <w:spacing w:line="240" w:lineRule="auto"/>
              <w:contextualSpacing/>
            </w:pPr>
            <w:r>
              <w:rPr>
                <w:b/>
              </w:rPr>
              <w:t>Close Reading Techniques</w:t>
            </w:r>
            <w:r w:rsidR="004F7362">
              <w:rPr>
                <w:b/>
              </w:rPr>
              <w:t>:</w:t>
            </w:r>
            <w:r>
              <w:t xml:space="preserve"> </w:t>
            </w:r>
            <w:r w:rsidR="00E6166F">
              <w:t>M</w:t>
            </w:r>
            <w:r w:rsidR="00A528A0">
              <w:t>odel</w:t>
            </w:r>
            <w:r w:rsidR="00272275">
              <w:t>s</w:t>
            </w:r>
            <w:r w:rsidR="00A528A0">
              <w:t xml:space="preserve"> close</w:t>
            </w:r>
            <w:r>
              <w:t xml:space="preserve"> reading </w:t>
            </w:r>
            <w:r w:rsidR="00A528A0">
              <w:t>of text</w:t>
            </w:r>
            <w:r>
              <w:t xml:space="preserve"> (including read alouds) a central focus of instruction and includes opportunities for students to ask and answer text-dependent questions.</w:t>
            </w:r>
          </w:p>
          <w:p w:rsidR="001C03BB" w:rsidRDefault="00757208">
            <w:pPr>
              <w:widowControl w:val="0"/>
              <w:numPr>
                <w:ilvl w:val="0"/>
                <w:numId w:val="2"/>
              </w:numPr>
              <w:spacing w:line="240" w:lineRule="auto"/>
              <w:contextualSpacing/>
            </w:pPr>
            <w:r>
              <w:rPr>
                <w:b/>
              </w:rPr>
              <w:t>Evidence of Differentiation:</w:t>
            </w:r>
            <w:r>
              <w:t xml:space="preserve"> Considers students with disabilities, English learners, and students who are performing at or below grade level.</w:t>
            </w:r>
          </w:p>
          <w:p w:rsidR="001C03BB" w:rsidRDefault="00757208">
            <w:pPr>
              <w:widowControl w:val="0"/>
              <w:numPr>
                <w:ilvl w:val="0"/>
                <w:numId w:val="2"/>
              </w:numPr>
              <w:spacing w:line="240" w:lineRule="auto"/>
              <w:contextualSpacing/>
            </w:pPr>
            <w:r>
              <w:rPr>
                <w:b/>
              </w:rPr>
              <w:t>Extensions are Appropriate:</w:t>
            </w:r>
            <w:r>
              <w:t xml:space="preserve"> Provides extensions for students who read above grade level.</w:t>
            </w:r>
          </w:p>
        </w:tc>
        <w:tc>
          <w:tcPr>
            <w:tcW w:w="4230" w:type="dxa"/>
            <w:shd w:val="clear" w:color="auto" w:fill="auto"/>
            <w:tcMar>
              <w:top w:w="100" w:type="dxa"/>
              <w:left w:w="100" w:type="dxa"/>
              <w:bottom w:w="100" w:type="dxa"/>
              <w:right w:w="100" w:type="dxa"/>
            </w:tcMar>
          </w:tcPr>
          <w:p w:rsidR="001C03BB" w:rsidRDefault="001C03BB">
            <w:pPr>
              <w:widowControl w:val="0"/>
              <w:spacing w:line="240" w:lineRule="auto"/>
              <w:rPr>
                <w:i/>
              </w:rPr>
            </w:pPr>
          </w:p>
        </w:tc>
        <w:tc>
          <w:tcPr>
            <w:tcW w:w="3690" w:type="dxa"/>
            <w:shd w:val="clear" w:color="auto" w:fill="auto"/>
            <w:tcMar>
              <w:top w:w="100" w:type="dxa"/>
              <w:left w:w="100" w:type="dxa"/>
              <w:bottom w:w="100" w:type="dxa"/>
              <w:right w:w="100" w:type="dxa"/>
            </w:tcMar>
          </w:tcPr>
          <w:p w:rsidR="001C03BB" w:rsidRDefault="001C03BB">
            <w:pPr>
              <w:widowControl w:val="0"/>
              <w:spacing w:line="240" w:lineRule="auto"/>
              <w:rPr>
                <w:i/>
              </w:rPr>
            </w:pPr>
          </w:p>
        </w:tc>
      </w:tr>
      <w:tr w:rsidR="001C03BB">
        <w:trPr>
          <w:trHeight w:val="660"/>
        </w:trPr>
        <w:tc>
          <w:tcPr>
            <w:tcW w:w="14410" w:type="dxa"/>
            <w:gridSpan w:val="3"/>
            <w:shd w:val="clear" w:color="auto" w:fill="auto"/>
            <w:tcMar>
              <w:top w:w="100" w:type="dxa"/>
              <w:left w:w="100" w:type="dxa"/>
              <w:bottom w:w="100" w:type="dxa"/>
              <w:right w:w="100" w:type="dxa"/>
            </w:tcMar>
          </w:tcPr>
          <w:p w:rsidR="001C03BB" w:rsidRDefault="00757208">
            <w:pPr>
              <w:widowControl w:val="0"/>
              <w:spacing w:line="240" w:lineRule="auto"/>
              <w:rPr>
                <w:sz w:val="24"/>
                <w:szCs w:val="24"/>
              </w:rPr>
            </w:pPr>
            <w:r>
              <w:rPr>
                <w:sz w:val="24"/>
                <w:szCs w:val="24"/>
              </w:rPr>
              <w:t>Qualitative Summary of Evidence</w:t>
            </w:r>
          </w:p>
          <w:p w:rsidR="001C03BB" w:rsidRDefault="001C03BB">
            <w:pPr>
              <w:widowControl w:val="0"/>
              <w:spacing w:line="240" w:lineRule="auto"/>
            </w:pPr>
          </w:p>
        </w:tc>
      </w:tr>
      <w:tr w:rsidR="001C03BB" w:rsidTr="00B509F0">
        <w:trPr>
          <w:trHeight w:val="2319"/>
        </w:trPr>
        <w:tc>
          <w:tcPr>
            <w:tcW w:w="14410" w:type="dxa"/>
            <w:gridSpan w:val="3"/>
            <w:shd w:val="clear" w:color="auto" w:fill="auto"/>
            <w:tcMar>
              <w:top w:w="100" w:type="dxa"/>
              <w:left w:w="100" w:type="dxa"/>
              <w:bottom w:w="100" w:type="dxa"/>
              <w:right w:w="100" w:type="dxa"/>
            </w:tcMar>
          </w:tcPr>
          <w:p w:rsidR="001C03BB" w:rsidRDefault="00757208">
            <w:pPr>
              <w:widowControl w:val="0"/>
              <w:spacing w:line="240" w:lineRule="auto"/>
              <w:rPr>
                <w:sz w:val="18"/>
                <w:szCs w:val="18"/>
              </w:rPr>
            </w:pPr>
            <w:r>
              <w:rPr>
                <w:b/>
                <w:sz w:val="18"/>
                <w:szCs w:val="18"/>
                <w:u w:val="single"/>
              </w:rPr>
              <w:t>Rating Scale for Part III</w:t>
            </w:r>
            <w:r>
              <w:rPr>
                <w:b/>
                <w:sz w:val="18"/>
                <w:szCs w:val="18"/>
              </w:rPr>
              <w:t>:</w:t>
            </w:r>
            <w:r>
              <w:rPr>
                <w:sz w:val="18"/>
                <w:szCs w:val="18"/>
              </w:rPr>
              <w:t xml:space="preserve"> Select only one to support your summary above. </w:t>
            </w:r>
          </w:p>
          <w:p w:rsidR="001C03BB" w:rsidRDefault="001C03BB">
            <w:pPr>
              <w:widowControl w:val="0"/>
              <w:spacing w:line="240" w:lineRule="auto"/>
              <w:ind w:left="720" w:hanging="360"/>
              <w:rPr>
                <w:sz w:val="18"/>
                <w:szCs w:val="18"/>
              </w:rPr>
            </w:pPr>
          </w:p>
          <w:p w:rsidR="00B509F0" w:rsidRPr="00B509F0" w:rsidRDefault="008648B7" w:rsidP="00B509F0">
            <w:pPr>
              <w:widowControl w:val="0"/>
              <w:spacing w:line="240" w:lineRule="auto"/>
              <w:ind w:left="720" w:hanging="360"/>
            </w:pPr>
            <w:sdt>
              <w:sdtPr>
                <w:id w:val="-1831670433"/>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4-</w:t>
            </w:r>
            <w:r w:rsidR="00B509F0" w:rsidRPr="00B509F0">
              <w:t xml:space="preserve"> Meets almost all or all of the criteria with strong connections between standards and lessons.</w:t>
            </w:r>
          </w:p>
          <w:p w:rsidR="00B509F0" w:rsidRDefault="008648B7" w:rsidP="00B509F0">
            <w:pPr>
              <w:widowControl w:val="0"/>
              <w:spacing w:line="240" w:lineRule="auto"/>
              <w:ind w:left="720" w:hanging="360"/>
            </w:pPr>
            <w:sdt>
              <w:sdtPr>
                <w:id w:val="-1140643358"/>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3-</w:t>
            </w:r>
            <w:r w:rsidR="00B509F0">
              <w:t xml:space="preserve"> Meets most of the criteria with strong connections between standards and lessons.</w:t>
            </w:r>
          </w:p>
          <w:p w:rsidR="00B509F0" w:rsidRDefault="008648B7" w:rsidP="00B509F0">
            <w:pPr>
              <w:widowControl w:val="0"/>
              <w:spacing w:line="240" w:lineRule="auto"/>
              <w:ind w:left="720" w:hanging="360"/>
            </w:pPr>
            <w:sdt>
              <w:sdtPr>
                <w:id w:val="545180500"/>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2</w:t>
            </w:r>
            <w:r w:rsidR="00B509F0">
              <w:t>- Meets some of the criteria, but connection between standards and lesson is questionable.</w:t>
            </w:r>
          </w:p>
          <w:p w:rsidR="00B509F0" w:rsidRDefault="008648B7" w:rsidP="00B509F0">
            <w:pPr>
              <w:widowControl w:val="0"/>
              <w:spacing w:line="240" w:lineRule="auto"/>
              <w:ind w:left="720" w:hanging="360"/>
            </w:pPr>
            <w:sdt>
              <w:sdtPr>
                <w:id w:val="-961871343"/>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1</w:t>
            </w:r>
            <w:r w:rsidR="00B509F0">
              <w:t xml:space="preserve">- Meets few of the criteria and connections between standards and lessons is vague or weak. </w:t>
            </w:r>
          </w:p>
          <w:p w:rsidR="001C03BB" w:rsidRDefault="008648B7" w:rsidP="00B509F0">
            <w:pPr>
              <w:widowControl w:val="0"/>
              <w:spacing w:line="240" w:lineRule="auto"/>
              <w:ind w:left="720" w:hanging="360"/>
            </w:pPr>
            <w:sdt>
              <w:sdtPr>
                <w:id w:val="-2002649021"/>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 xml:space="preserve">0- </w:t>
            </w:r>
            <w:r w:rsidR="00B509F0">
              <w:t xml:space="preserve">Does not meet the criteria. </w:t>
            </w:r>
          </w:p>
          <w:p w:rsidR="00B016DA" w:rsidRDefault="00B016DA" w:rsidP="00B509F0">
            <w:pPr>
              <w:widowControl w:val="0"/>
              <w:spacing w:line="240" w:lineRule="auto"/>
              <w:ind w:left="720" w:hanging="360"/>
            </w:pPr>
          </w:p>
          <w:p w:rsidR="00811FD5" w:rsidRDefault="00811FD5" w:rsidP="00B509F0">
            <w:pPr>
              <w:widowControl w:val="0"/>
              <w:spacing w:line="240" w:lineRule="auto"/>
              <w:ind w:left="720" w:hanging="360"/>
            </w:pPr>
          </w:p>
          <w:p w:rsidR="00B016DA" w:rsidRDefault="00B016DA" w:rsidP="00B509F0">
            <w:pPr>
              <w:widowControl w:val="0"/>
              <w:spacing w:line="240" w:lineRule="auto"/>
              <w:ind w:left="720" w:hanging="360"/>
            </w:pPr>
          </w:p>
        </w:tc>
      </w:tr>
      <w:tr w:rsidR="001C03BB">
        <w:trPr>
          <w:trHeight w:val="420"/>
        </w:trPr>
        <w:tc>
          <w:tcPr>
            <w:tcW w:w="14410" w:type="dxa"/>
            <w:gridSpan w:val="3"/>
            <w:shd w:val="clear" w:color="auto" w:fill="FFFFFF"/>
            <w:tcMar>
              <w:top w:w="100" w:type="dxa"/>
              <w:left w:w="100" w:type="dxa"/>
              <w:bottom w:w="100" w:type="dxa"/>
              <w:right w:w="100" w:type="dxa"/>
            </w:tcMar>
          </w:tcPr>
          <w:p w:rsidR="001C03BB" w:rsidRDefault="00CB1222">
            <w:pPr>
              <w:widowControl w:val="0"/>
              <w:spacing w:line="240" w:lineRule="auto"/>
            </w:pPr>
            <w:r>
              <w:rPr>
                <w:b/>
              </w:rPr>
              <w:t>Criteria IV</w:t>
            </w:r>
            <w:r w:rsidR="00757208">
              <w:rPr>
                <w:b/>
              </w:rPr>
              <w:t xml:space="preserve"> Background:</w:t>
            </w:r>
            <w:r w:rsidR="00757208">
              <w:t xml:space="preserve"> Since assessment drives instruction, lessons include regular formative and summative measures to determine whether students are mastering standards-based content and skills. </w:t>
            </w:r>
          </w:p>
        </w:tc>
      </w:tr>
      <w:tr w:rsidR="001C03BB">
        <w:trPr>
          <w:trHeight w:val="420"/>
        </w:trPr>
        <w:tc>
          <w:tcPr>
            <w:tcW w:w="6490" w:type="dxa"/>
            <w:shd w:val="clear" w:color="auto" w:fill="CFE2F3"/>
            <w:tcMar>
              <w:top w:w="100" w:type="dxa"/>
              <w:left w:w="100" w:type="dxa"/>
              <w:bottom w:w="100" w:type="dxa"/>
              <w:right w:w="100" w:type="dxa"/>
            </w:tcMar>
          </w:tcPr>
          <w:p w:rsidR="001C03BB" w:rsidRDefault="00757208">
            <w:pPr>
              <w:widowControl w:val="0"/>
              <w:spacing w:line="240" w:lineRule="auto"/>
              <w:rPr>
                <w:i/>
              </w:rPr>
            </w:pPr>
            <w:r>
              <w:t>IV</w:t>
            </w:r>
            <w:r w:rsidR="00CB1222">
              <w:t>:</w:t>
            </w:r>
            <w:r>
              <w:t xml:space="preserve"> Assessment Design and Purpose</w:t>
            </w:r>
            <w:r>
              <w:br/>
            </w:r>
            <w:r>
              <w:rPr>
                <w:i/>
                <w:color w:val="404040"/>
                <w:sz w:val="20"/>
                <w:szCs w:val="20"/>
              </w:rPr>
              <w:t>Criteria</w:t>
            </w:r>
          </w:p>
        </w:tc>
        <w:tc>
          <w:tcPr>
            <w:tcW w:w="4230" w:type="dxa"/>
            <w:shd w:val="clear" w:color="auto" w:fill="CFE2F3"/>
            <w:tcMar>
              <w:top w:w="100" w:type="dxa"/>
              <w:left w:w="100" w:type="dxa"/>
              <w:bottom w:w="100" w:type="dxa"/>
              <w:right w:w="100" w:type="dxa"/>
            </w:tcMar>
          </w:tcPr>
          <w:p w:rsidR="001C03BB" w:rsidRDefault="00757208">
            <w:pPr>
              <w:widowControl w:val="0"/>
              <w:spacing w:line="240" w:lineRule="auto"/>
              <w:rPr>
                <w:i/>
              </w:rPr>
            </w:pPr>
            <w:r>
              <w:t>Strengths</w:t>
            </w:r>
          </w:p>
          <w:p w:rsidR="001C03BB" w:rsidRDefault="00757208">
            <w:pPr>
              <w:widowControl w:val="0"/>
              <w:spacing w:line="240" w:lineRule="auto"/>
              <w:rPr>
                <w:sz w:val="18"/>
                <w:szCs w:val="18"/>
              </w:rPr>
            </w:pP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rsidR="001C03BB" w:rsidRDefault="00757208">
            <w:pPr>
              <w:widowControl w:val="0"/>
              <w:spacing w:line="240" w:lineRule="auto"/>
              <w:rPr>
                <w:i/>
              </w:rPr>
            </w:pPr>
            <w:r>
              <w:t>Challenges or Concerns</w:t>
            </w:r>
          </w:p>
          <w:p w:rsidR="001C03BB" w:rsidRDefault="00757208">
            <w:pPr>
              <w:widowControl w:val="0"/>
              <w:spacing w:line="240" w:lineRule="auto"/>
              <w:rPr>
                <w:sz w:val="18"/>
                <w:szCs w:val="18"/>
              </w:rPr>
            </w:pPr>
            <w:r>
              <w:rPr>
                <w:i/>
                <w:color w:val="404040"/>
                <w:sz w:val="18"/>
                <w:szCs w:val="18"/>
              </w:rPr>
              <w:t>Provide specific evidence or examples of areas for improvement</w:t>
            </w:r>
          </w:p>
        </w:tc>
      </w:tr>
      <w:tr w:rsidR="001C03BB">
        <w:trPr>
          <w:trHeight w:val="2860"/>
        </w:trPr>
        <w:tc>
          <w:tcPr>
            <w:tcW w:w="6490" w:type="dxa"/>
            <w:shd w:val="clear" w:color="auto" w:fill="auto"/>
            <w:tcMar>
              <w:top w:w="100" w:type="dxa"/>
              <w:left w:w="100" w:type="dxa"/>
              <w:bottom w:w="100" w:type="dxa"/>
              <w:right w:w="100" w:type="dxa"/>
            </w:tcMar>
          </w:tcPr>
          <w:p w:rsidR="00DF4DD5" w:rsidRPr="00DF4DD5" w:rsidRDefault="00DF4DD5" w:rsidP="00DF4DD5">
            <w:pPr>
              <w:widowControl w:val="0"/>
              <w:spacing w:line="240" w:lineRule="auto"/>
              <w:contextualSpacing/>
            </w:pPr>
            <w:r>
              <w:rPr>
                <w:b/>
              </w:rPr>
              <w:t>Curriculum-</w:t>
            </w:r>
          </w:p>
          <w:p w:rsidR="001C03BB" w:rsidRDefault="00757208">
            <w:pPr>
              <w:widowControl w:val="0"/>
              <w:numPr>
                <w:ilvl w:val="0"/>
                <w:numId w:val="2"/>
              </w:numPr>
              <w:spacing w:line="240" w:lineRule="auto"/>
              <w:contextualSpacing/>
            </w:pPr>
            <w:r>
              <w:rPr>
                <w:b/>
              </w:rPr>
              <w:t>Valid Measures</w:t>
            </w:r>
            <w:r>
              <w:t xml:space="preserve">: </w:t>
            </w:r>
            <w:r w:rsidR="00E6166F">
              <w:t>E</w:t>
            </w:r>
            <w:r w:rsidR="00DF4DD5">
              <w:t>licits</w:t>
            </w:r>
            <w:r>
              <w:t xml:space="preserve"> observable evidence of the degree to which a student can independently demonstrate foundational skills and targeted grade level literacy. </w:t>
            </w:r>
          </w:p>
          <w:p w:rsidR="001C03BB" w:rsidRDefault="00757208">
            <w:pPr>
              <w:widowControl w:val="0"/>
              <w:numPr>
                <w:ilvl w:val="0"/>
                <w:numId w:val="2"/>
              </w:numPr>
              <w:spacing w:line="240" w:lineRule="auto"/>
              <w:contextualSpacing/>
            </w:pPr>
            <w:r>
              <w:rPr>
                <w:b/>
              </w:rPr>
              <w:t>Success Criteria</w:t>
            </w:r>
            <w:r>
              <w:t xml:space="preserve">: </w:t>
            </w:r>
            <w:r w:rsidR="00E6166F">
              <w:t>I</w:t>
            </w:r>
            <w:r w:rsidR="00DF4DD5">
              <w:t>ncludes</w:t>
            </w:r>
            <w:r>
              <w:t xml:space="preserve"> aligned rubrics and/or assessment guidelines sufficient for interpreting performance.</w:t>
            </w:r>
          </w:p>
          <w:p w:rsidR="001C03BB" w:rsidRDefault="00757208">
            <w:pPr>
              <w:widowControl w:val="0"/>
              <w:numPr>
                <w:ilvl w:val="0"/>
                <w:numId w:val="2"/>
              </w:numPr>
              <w:spacing w:line="240" w:lineRule="auto"/>
              <w:contextualSpacing/>
            </w:pPr>
            <w:r>
              <w:rPr>
                <w:b/>
              </w:rPr>
              <w:t>Accommodations and Accessibility:</w:t>
            </w:r>
            <w:r>
              <w:t xml:space="preserve"> </w:t>
            </w:r>
            <w:r w:rsidR="00E6166F">
              <w:t>I</w:t>
            </w:r>
            <w:r w:rsidR="00DF4DD5">
              <w:t>ncludes assessments</w:t>
            </w:r>
            <w:r>
              <w:t xml:space="preserve"> appropriate for all students. </w:t>
            </w:r>
          </w:p>
          <w:p w:rsidR="001C03BB" w:rsidRDefault="00757208">
            <w:pPr>
              <w:widowControl w:val="0"/>
              <w:numPr>
                <w:ilvl w:val="0"/>
                <w:numId w:val="2"/>
              </w:numPr>
              <w:spacing w:line="240" w:lineRule="auto"/>
              <w:contextualSpacing/>
            </w:pPr>
            <w:r>
              <w:rPr>
                <w:b/>
              </w:rPr>
              <w:t>Reliable Measures:</w:t>
            </w:r>
            <w:r>
              <w:t xml:space="preserve"> </w:t>
            </w:r>
            <w:r w:rsidR="00E6166F">
              <w:t>I</w:t>
            </w:r>
            <w:r w:rsidR="00DF4DD5">
              <w:t>ncludes a</w:t>
            </w:r>
            <w:r>
              <w:t xml:space="preserve">ssessments, whether formal or informal, designed to provide multiple opportunities for students to demonstrate their proficiency. </w:t>
            </w:r>
          </w:p>
        </w:tc>
        <w:tc>
          <w:tcPr>
            <w:tcW w:w="4230" w:type="dxa"/>
            <w:shd w:val="clear" w:color="auto" w:fill="auto"/>
            <w:tcMar>
              <w:top w:w="100" w:type="dxa"/>
              <w:left w:w="100" w:type="dxa"/>
              <w:bottom w:w="100" w:type="dxa"/>
              <w:right w:w="100" w:type="dxa"/>
            </w:tcMar>
          </w:tcPr>
          <w:p w:rsidR="001C03BB" w:rsidRDefault="001C03BB">
            <w:pPr>
              <w:widowControl w:val="0"/>
              <w:spacing w:line="240" w:lineRule="auto"/>
              <w:rPr>
                <w:i/>
              </w:rPr>
            </w:pPr>
          </w:p>
        </w:tc>
        <w:tc>
          <w:tcPr>
            <w:tcW w:w="3690" w:type="dxa"/>
            <w:shd w:val="clear" w:color="auto" w:fill="auto"/>
            <w:tcMar>
              <w:top w:w="100" w:type="dxa"/>
              <w:left w:w="100" w:type="dxa"/>
              <w:bottom w:w="100" w:type="dxa"/>
              <w:right w:w="100" w:type="dxa"/>
            </w:tcMar>
          </w:tcPr>
          <w:p w:rsidR="001C03BB" w:rsidRDefault="001C03BB">
            <w:pPr>
              <w:widowControl w:val="0"/>
              <w:spacing w:line="240" w:lineRule="auto"/>
              <w:rPr>
                <w:i/>
              </w:rPr>
            </w:pPr>
          </w:p>
        </w:tc>
      </w:tr>
      <w:tr w:rsidR="001C03BB">
        <w:trPr>
          <w:trHeight w:val="760"/>
        </w:trPr>
        <w:tc>
          <w:tcPr>
            <w:tcW w:w="14410" w:type="dxa"/>
            <w:gridSpan w:val="3"/>
            <w:shd w:val="clear" w:color="auto" w:fill="auto"/>
            <w:tcMar>
              <w:top w:w="100" w:type="dxa"/>
              <w:left w:w="100" w:type="dxa"/>
              <w:bottom w:w="100" w:type="dxa"/>
              <w:right w:w="100" w:type="dxa"/>
            </w:tcMar>
          </w:tcPr>
          <w:p w:rsidR="001C03BB" w:rsidRDefault="00757208">
            <w:pPr>
              <w:widowControl w:val="0"/>
              <w:spacing w:line="240" w:lineRule="auto"/>
              <w:ind w:left="720" w:hanging="360"/>
            </w:pPr>
            <w:r>
              <w:rPr>
                <w:sz w:val="24"/>
                <w:szCs w:val="24"/>
              </w:rPr>
              <w:t>Qualitative Summary of Evidence</w:t>
            </w:r>
          </w:p>
        </w:tc>
      </w:tr>
      <w:tr w:rsidR="001C03BB">
        <w:trPr>
          <w:trHeight w:val="2300"/>
        </w:trPr>
        <w:tc>
          <w:tcPr>
            <w:tcW w:w="14410" w:type="dxa"/>
            <w:gridSpan w:val="3"/>
            <w:shd w:val="clear" w:color="auto" w:fill="auto"/>
            <w:tcMar>
              <w:top w:w="100" w:type="dxa"/>
              <w:left w:w="100" w:type="dxa"/>
              <w:bottom w:w="100" w:type="dxa"/>
              <w:right w:w="100" w:type="dxa"/>
            </w:tcMar>
          </w:tcPr>
          <w:p w:rsidR="001C03BB" w:rsidRDefault="00757208">
            <w:pPr>
              <w:widowControl w:val="0"/>
              <w:spacing w:line="240" w:lineRule="auto"/>
              <w:rPr>
                <w:sz w:val="18"/>
                <w:szCs w:val="18"/>
              </w:rPr>
            </w:pPr>
            <w:r>
              <w:rPr>
                <w:b/>
                <w:sz w:val="18"/>
                <w:szCs w:val="18"/>
                <w:u w:val="single"/>
              </w:rPr>
              <w:t>Rating Scale for Part IV</w:t>
            </w:r>
            <w:r>
              <w:rPr>
                <w:b/>
                <w:sz w:val="18"/>
                <w:szCs w:val="18"/>
              </w:rPr>
              <w:t>:</w:t>
            </w:r>
            <w:r>
              <w:rPr>
                <w:sz w:val="18"/>
                <w:szCs w:val="18"/>
              </w:rPr>
              <w:t xml:space="preserve"> Select only one to support your summary above. </w:t>
            </w:r>
          </w:p>
          <w:p w:rsidR="001C03BB" w:rsidRDefault="001C03BB">
            <w:pPr>
              <w:widowControl w:val="0"/>
              <w:spacing w:line="240" w:lineRule="auto"/>
              <w:ind w:left="720" w:hanging="360"/>
              <w:rPr>
                <w:sz w:val="18"/>
                <w:szCs w:val="18"/>
              </w:rPr>
            </w:pPr>
          </w:p>
          <w:p w:rsidR="00B016DA" w:rsidRPr="00B509F0" w:rsidRDefault="008648B7" w:rsidP="00B016DA">
            <w:pPr>
              <w:widowControl w:val="0"/>
              <w:spacing w:line="240" w:lineRule="auto"/>
              <w:ind w:left="720" w:hanging="360"/>
            </w:pPr>
            <w:sdt>
              <w:sdtPr>
                <w:id w:val="-1589381315"/>
                <w14:checkbox>
                  <w14:checked w14:val="0"/>
                  <w14:checkedState w14:val="2612" w14:font="MS Gothic"/>
                  <w14:uncheckedState w14:val="2610" w14:font="MS Gothic"/>
                </w14:checkbox>
              </w:sdtPr>
              <w:sdtEndPr/>
              <w:sdtContent>
                <w:r w:rsidR="00B016DA" w:rsidRPr="00B509F0">
                  <w:rPr>
                    <w:rFonts w:ascii="MS Gothic" w:eastAsia="MS Gothic" w:hAnsi="MS Gothic" w:hint="eastAsia"/>
                  </w:rPr>
                  <w:t>☐</w:t>
                </w:r>
              </w:sdtContent>
            </w:sdt>
            <w:r w:rsidR="00B016DA" w:rsidRPr="00B509F0">
              <w:rPr>
                <w:b/>
              </w:rPr>
              <w:t>4-</w:t>
            </w:r>
            <w:r w:rsidR="00B016DA" w:rsidRPr="00B509F0">
              <w:t xml:space="preserve"> Meets almost all or all of the criteria with strong connections between standards and lessons.</w:t>
            </w:r>
          </w:p>
          <w:p w:rsidR="00B016DA" w:rsidRDefault="008648B7" w:rsidP="00B016DA">
            <w:pPr>
              <w:widowControl w:val="0"/>
              <w:spacing w:line="240" w:lineRule="auto"/>
              <w:ind w:left="720" w:hanging="360"/>
            </w:pPr>
            <w:sdt>
              <w:sdtPr>
                <w:id w:val="1439254822"/>
                <w14:checkbox>
                  <w14:checked w14:val="0"/>
                  <w14:checkedState w14:val="2612" w14:font="MS Gothic"/>
                  <w14:uncheckedState w14:val="2610" w14:font="MS Gothic"/>
                </w14:checkbox>
              </w:sdtPr>
              <w:sdtEndPr/>
              <w:sdtContent>
                <w:r w:rsidR="00B016DA" w:rsidRPr="00B509F0">
                  <w:rPr>
                    <w:rFonts w:ascii="MS Gothic" w:eastAsia="MS Gothic" w:hAnsi="MS Gothic" w:hint="eastAsia"/>
                  </w:rPr>
                  <w:t>☐</w:t>
                </w:r>
              </w:sdtContent>
            </w:sdt>
            <w:r w:rsidR="00B016DA" w:rsidRPr="00B509F0">
              <w:rPr>
                <w:b/>
              </w:rPr>
              <w:t>3-</w:t>
            </w:r>
            <w:r w:rsidR="00B016DA">
              <w:t xml:space="preserve"> Meets most of the criteria with strong connections between standards and lessons.</w:t>
            </w:r>
          </w:p>
          <w:p w:rsidR="00B016DA" w:rsidRDefault="008648B7" w:rsidP="00B016DA">
            <w:pPr>
              <w:widowControl w:val="0"/>
              <w:spacing w:line="240" w:lineRule="auto"/>
              <w:ind w:left="720" w:hanging="360"/>
            </w:pPr>
            <w:sdt>
              <w:sdtPr>
                <w:id w:val="-2062244448"/>
                <w14:checkbox>
                  <w14:checked w14:val="0"/>
                  <w14:checkedState w14:val="2612" w14:font="MS Gothic"/>
                  <w14:uncheckedState w14:val="2610" w14:font="MS Gothic"/>
                </w14:checkbox>
              </w:sdtPr>
              <w:sdtEndPr/>
              <w:sdtContent>
                <w:r w:rsidR="00B016DA">
                  <w:rPr>
                    <w:rFonts w:ascii="MS Gothic" w:eastAsia="MS Gothic" w:hAnsi="MS Gothic" w:hint="eastAsia"/>
                  </w:rPr>
                  <w:t>☐</w:t>
                </w:r>
              </w:sdtContent>
            </w:sdt>
            <w:r w:rsidR="00B016DA" w:rsidRPr="00B509F0">
              <w:rPr>
                <w:b/>
              </w:rPr>
              <w:t>2</w:t>
            </w:r>
            <w:r w:rsidR="00B016DA">
              <w:t>- Meets some of the criteria, but connection between standards and lesson is questionable.</w:t>
            </w:r>
          </w:p>
          <w:p w:rsidR="00B016DA" w:rsidRDefault="008648B7" w:rsidP="00B016DA">
            <w:pPr>
              <w:widowControl w:val="0"/>
              <w:spacing w:line="240" w:lineRule="auto"/>
              <w:ind w:left="720" w:hanging="360"/>
            </w:pPr>
            <w:sdt>
              <w:sdtPr>
                <w:id w:val="1593812774"/>
                <w14:checkbox>
                  <w14:checked w14:val="0"/>
                  <w14:checkedState w14:val="2612" w14:font="MS Gothic"/>
                  <w14:uncheckedState w14:val="2610" w14:font="MS Gothic"/>
                </w14:checkbox>
              </w:sdtPr>
              <w:sdtEndPr/>
              <w:sdtContent>
                <w:r w:rsidR="00B016DA">
                  <w:rPr>
                    <w:rFonts w:ascii="MS Gothic" w:eastAsia="MS Gothic" w:hAnsi="MS Gothic" w:hint="eastAsia"/>
                  </w:rPr>
                  <w:t>☐</w:t>
                </w:r>
              </w:sdtContent>
            </w:sdt>
            <w:r w:rsidR="00B016DA" w:rsidRPr="00B509F0">
              <w:rPr>
                <w:b/>
              </w:rPr>
              <w:t>1</w:t>
            </w:r>
            <w:r w:rsidR="00B016DA">
              <w:t xml:space="preserve">- Meets few of the criteria and connections between standards and lessons is vague or weak. </w:t>
            </w:r>
          </w:p>
          <w:p w:rsidR="001C03BB" w:rsidRDefault="008648B7" w:rsidP="00B016DA">
            <w:pPr>
              <w:widowControl w:val="0"/>
              <w:spacing w:line="240" w:lineRule="auto"/>
              <w:ind w:left="720" w:hanging="360"/>
            </w:pPr>
            <w:sdt>
              <w:sdtPr>
                <w:id w:val="-1255282291"/>
                <w14:checkbox>
                  <w14:checked w14:val="0"/>
                  <w14:checkedState w14:val="2612" w14:font="MS Gothic"/>
                  <w14:uncheckedState w14:val="2610" w14:font="MS Gothic"/>
                </w14:checkbox>
              </w:sdtPr>
              <w:sdtEndPr/>
              <w:sdtContent>
                <w:r w:rsidR="00B016DA">
                  <w:rPr>
                    <w:rFonts w:ascii="MS Gothic" w:eastAsia="MS Gothic" w:hAnsi="MS Gothic" w:hint="eastAsia"/>
                  </w:rPr>
                  <w:t>☐</w:t>
                </w:r>
              </w:sdtContent>
            </w:sdt>
            <w:r w:rsidR="00B016DA" w:rsidRPr="00B509F0">
              <w:rPr>
                <w:b/>
              </w:rPr>
              <w:t xml:space="preserve">0- </w:t>
            </w:r>
            <w:r w:rsidR="00B016DA">
              <w:t xml:space="preserve">Does not meet the criteria. </w:t>
            </w:r>
          </w:p>
        </w:tc>
      </w:tr>
    </w:tbl>
    <w:p w:rsidR="001C03BB" w:rsidRDefault="001C03BB" w:rsidP="00047460"/>
    <w:p w:rsidR="00DB33E3" w:rsidRDefault="00DB33E3" w:rsidP="00047460">
      <w:pPr>
        <w:rPr>
          <w:sz w:val="18"/>
          <w:szCs w:val="18"/>
        </w:rPr>
      </w:pPr>
    </w:p>
    <w:p w:rsidR="00DB33E3" w:rsidRDefault="00DB33E3" w:rsidP="00047460">
      <w:pPr>
        <w:rPr>
          <w:sz w:val="18"/>
          <w:szCs w:val="18"/>
        </w:rPr>
      </w:pPr>
    </w:p>
    <w:p w:rsidR="00DB33E3" w:rsidRDefault="00DB33E3" w:rsidP="00047460">
      <w:pPr>
        <w:rPr>
          <w:sz w:val="18"/>
          <w:szCs w:val="18"/>
        </w:rPr>
      </w:pPr>
    </w:p>
    <w:p w:rsidR="00DB33E3" w:rsidRDefault="00DB33E3" w:rsidP="00047460">
      <w:pPr>
        <w:rPr>
          <w:sz w:val="18"/>
          <w:szCs w:val="18"/>
        </w:rPr>
      </w:pPr>
    </w:p>
    <w:p w:rsidR="00DB33E3" w:rsidRDefault="00DB33E3" w:rsidP="00047460">
      <w:pPr>
        <w:rPr>
          <w:sz w:val="18"/>
          <w:szCs w:val="18"/>
        </w:rPr>
      </w:pPr>
    </w:p>
    <w:p w:rsidR="00DB33E3" w:rsidRDefault="00DB33E3" w:rsidP="00047460">
      <w:pPr>
        <w:rPr>
          <w:sz w:val="18"/>
          <w:szCs w:val="18"/>
        </w:rPr>
      </w:pPr>
    </w:p>
    <w:p w:rsidR="001C03BB" w:rsidRPr="00047460" w:rsidRDefault="00757208" w:rsidP="00047460">
      <w:pPr>
        <w:rPr>
          <w:sz w:val="18"/>
          <w:szCs w:val="18"/>
        </w:rPr>
      </w:pPr>
      <w:r w:rsidRPr="00047460">
        <w:rPr>
          <w:sz w:val="18"/>
          <w:szCs w:val="18"/>
        </w:rPr>
        <w:t>Sources:</w:t>
      </w:r>
    </w:p>
    <w:p w:rsidR="001C03BB" w:rsidRPr="00047460" w:rsidRDefault="008648B7" w:rsidP="00047460">
      <w:pPr>
        <w:rPr>
          <w:sz w:val="18"/>
          <w:szCs w:val="18"/>
        </w:rPr>
      </w:pPr>
      <w:hyperlink r:id="rId24">
        <w:r w:rsidR="00757208" w:rsidRPr="00047460">
          <w:rPr>
            <w:color w:val="1155CC"/>
            <w:sz w:val="18"/>
            <w:szCs w:val="18"/>
            <w:u w:val="single"/>
          </w:rPr>
          <w:t>https://www.achieve.org/files/EQuIP-ELArubric-06-24-13-FINAL.pdf</w:t>
        </w:r>
      </w:hyperlink>
    </w:p>
    <w:p w:rsidR="001C03BB" w:rsidRPr="00047460" w:rsidRDefault="008648B7" w:rsidP="00047460">
      <w:pPr>
        <w:rPr>
          <w:sz w:val="18"/>
          <w:szCs w:val="18"/>
        </w:rPr>
      </w:pPr>
      <w:hyperlink r:id="rId25">
        <w:r w:rsidR="00757208" w:rsidRPr="00047460">
          <w:rPr>
            <w:color w:val="1155CC"/>
            <w:sz w:val="18"/>
            <w:szCs w:val="18"/>
            <w:u w:val="single"/>
          </w:rPr>
          <w:t>https://www.cgcs.org/cms/lib/DC00001581/Centricity/Domain/72/ELA_Rubric_Grades%209-10.pdf</w:t>
        </w:r>
      </w:hyperlink>
    </w:p>
    <w:p w:rsidR="001C03BB" w:rsidRPr="00047460" w:rsidRDefault="008648B7" w:rsidP="00047460">
      <w:pPr>
        <w:rPr>
          <w:sz w:val="18"/>
          <w:szCs w:val="18"/>
        </w:rPr>
      </w:pPr>
      <w:hyperlink r:id="rId26">
        <w:r w:rsidR="00757208" w:rsidRPr="00047460">
          <w:rPr>
            <w:color w:val="1155CC"/>
            <w:sz w:val="18"/>
            <w:szCs w:val="18"/>
            <w:u w:val="single"/>
          </w:rPr>
          <w:t>https://parcc-assessment.org/content/uploads/2017/11/PARCCMCFELALiteracyAugust2012_FINAL.pdf</w:t>
        </w:r>
      </w:hyperlink>
    </w:p>
    <w:p w:rsidR="001C03BB" w:rsidRPr="00047460" w:rsidRDefault="008648B7" w:rsidP="00047460">
      <w:pPr>
        <w:rPr>
          <w:color w:val="1155CC"/>
          <w:sz w:val="18"/>
          <w:szCs w:val="18"/>
          <w:u w:val="single"/>
        </w:rPr>
      </w:pPr>
      <w:hyperlink r:id="rId27">
        <w:r w:rsidR="00757208" w:rsidRPr="00047460">
          <w:rPr>
            <w:color w:val="1155CC"/>
            <w:sz w:val="18"/>
            <w:szCs w:val="18"/>
            <w:u w:val="single"/>
          </w:rPr>
          <w:t>http://www.corestandards.org/assets/Appendix_A.pdf</w:t>
        </w:r>
      </w:hyperlink>
    </w:p>
    <w:p w:rsidR="008E3241" w:rsidRDefault="008648B7" w:rsidP="00047460">
      <w:pPr>
        <w:rPr>
          <w:color w:val="1155CC"/>
          <w:sz w:val="18"/>
          <w:szCs w:val="18"/>
          <w:u w:val="single"/>
        </w:rPr>
      </w:pPr>
      <w:hyperlink r:id="rId28">
        <w:r w:rsidR="00757208" w:rsidRPr="00047460">
          <w:rPr>
            <w:color w:val="1155CC"/>
            <w:sz w:val="18"/>
            <w:szCs w:val="18"/>
            <w:u w:val="single"/>
          </w:rPr>
          <w:t>http://mdk12.msde.maryland.gov/instruction/curriculum/reading/includes/AdditionalFiles/Vertical%20Progressions%20-%20Reading%20Informational%20Texts.pdf</w:t>
        </w:r>
      </w:hyperlink>
    </w:p>
    <w:p w:rsidR="008E3241" w:rsidRDefault="008E3241" w:rsidP="008E3241">
      <w:pPr>
        <w:rPr>
          <w:rFonts w:cs="Times New Roman"/>
          <w:b/>
        </w:rPr>
      </w:pPr>
    </w:p>
    <w:p w:rsidR="008E3241" w:rsidRDefault="008E3241" w:rsidP="008E3241">
      <w:pPr>
        <w:rPr>
          <w:rFonts w:cs="Times New Roman"/>
          <w:b/>
        </w:rPr>
      </w:pPr>
    </w:p>
    <w:p w:rsidR="008E3241" w:rsidRDefault="008E3241" w:rsidP="008E3241">
      <w:pPr>
        <w:rPr>
          <w:rFonts w:cs="Times New Roman"/>
          <w:b/>
        </w:rPr>
      </w:pPr>
      <w:r w:rsidRPr="00957558">
        <w:rPr>
          <w:rFonts w:cs="Times New Roman"/>
          <w:b/>
        </w:rPr>
        <w:t>Maryland State Department of Education</w:t>
      </w:r>
    </w:p>
    <w:p w:rsidR="008E3241" w:rsidRPr="00957558" w:rsidRDefault="008E3241" w:rsidP="008E3241">
      <w:pPr>
        <w:rPr>
          <w:rFonts w:cs="Times New Roman"/>
          <w:b/>
        </w:rPr>
      </w:pPr>
    </w:p>
    <w:p w:rsidR="008E3241" w:rsidRDefault="008E3241" w:rsidP="008E3241">
      <w:r>
        <w:t>Karen B. Salmon, Ph.D.</w:t>
      </w:r>
      <w:r w:rsidRPr="00710621">
        <w:t xml:space="preserve"> </w:t>
      </w:r>
    </w:p>
    <w:p w:rsidR="008E3241" w:rsidRDefault="008E3241" w:rsidP="008E3241">
      <w:r w:rsidRPr="00710621">
        <w:t>State Superintendent of Schools</w:t>
      </w:r>
    </w:p>
    <w:p w:rsidR="008E3241" w:rsidRDefault="008E3241" w:rsidP="008E3241"/>
    <w:p w:rsidR="008E3241" w:rsidRDefault="008E3241" w:rsidP="008E3241">
      <w:r w:rsidRPr="00710621">
        <w:t xml:space="preserve">Carol A. Williamson, Ed.D. </w:t>
      </w:r>
    </w:p>
    <w:p w:rsidR="008E3241" w:rsidRDefault="008E3241" w:rsidP="008E3241">
      <w:r w:rsidRPr="00710621">
        <w:t>Deputy State Superintendent of Teaching and Learning</w:t>
      </w:r>
    </w:p>
    <w:p w:rsidR="008E3241" w:rsidRDefault="008E3241" w:rsidP="008E3241"/>
    <w:p w:rsidR="008E3241" w:rsidRPr="00710621" w:rsidRDefault="008E3241" w:rsidP="008E3241"/>
    <w:p w:rsidR="008E3241" w:rsidRDefault="008E3241" w:rsidP="008E3241"/>
    <w:p w:rsidR="008E3241" w:rsidRDefault="008E3241" w:rsidP="008E3241"/>
    <w:p w:rsidR="008E3241" w:rsidRDefault="008E3241" w:rsidP="008E3241"/>
    <w:p w:rsidR="008E3241" w:rsidRDefault="008E3241" w:rsidP="008E3241"/>
    <w:p w:rsidR="008E3241" w:rsidRDefault="008E3241" w:rsidP="008E3241"/>
    <w:p w:rsidR="008E3241" w:rsidRDefault="008E3241" w:rsidP="008E3241"/>
    <w:p w:rsidR="008E3241" w:rsidRDefault="008E3241" w:rsidP="008E3241">
      <w:r>
        <w:t>Larry Hogan, Governor</w:t>
      </w:r>
    </w:p>
    <w:p w:rsidR="008E3241" w:rsidRDefault="008E3241" w:rsidP="008E3241"/>
    <w:p w:rsidR="008E3241" w:rsidRDefault="008E3241" w:rsidP="008E3241"/>
    <w:p w:rsidR="008E3241" w:rsidRDefault="008E3241" w:rsidP="008E3241"/>
    <w:p w:rsidR="008E3241" w:rsidRDefault="008E3241" w:rsidP="008E3241"/>
    <w:p w:rsidR="008E3241" w:rsidRDefault="008E3241" w:rsidP="008E3241">
      <w:r>
        <w:t xml:space="preserve">The Maryland State Department of Education does not discriminate on the basis of race, sex, age, national origin, religion, disability, or sexual orientation in matters affecting employment or in providing access to programs and activities and provides equal access to the Boy Scouts and other designated youth groups.  For inquiries related to departmental policy, please contact: </w:t>
      </w:r>
    </w:p>
    <w:p w:rsidR="008E3241" w:rsidRDefault="008E3241" w:rsidP="008E3241">
      <w:r>
        <w:t xml:space="preserve">Equity Assurance and Compliance Office Maryland State Department of Education 200 West Baltimore Street Baltimore, Maryland 21201-2595 </w:t>
      </w:r>
    </w:p>
    <w:p w:rsidR="008E3241" w:rsidRPr="009608B9" w:rsidRDefault="008E3241" w:rsidP="008E3241">
      <w:r>
        <w:t>410-767-0433(</w:t>
      </w:r>
      <w:r w:rsidR="00880C00">
        <w:t xml:space="preserve">voice) 410-767-0431(fax) </w:t>
      </w:r>
      <w:r>
        <w:t>410-333-6442(TTY/TDD)</w:t>
      </w:r>
    </w:p>
    <w:sectPr w:rsidR="008E3241" w:rsidRPr="009608B9" w:rsidSect="00387AD9">
      <w:headerReference w:type="default" r:id="rId29"/>
      <w:footerReference w:type="default" r:id="rId30"/>
      <w:pgSz w:w="15840" w:h="12240" w:orient="landscape"/>
      <w:pgMar w:top="720" w:right="720" w:bottom="720" w:left="720" w:header="144"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DA" w:rsidRDefault="00EC5BDA">
      <w:pPr>
        <w:spacing w:line="240" w:lineRule="auto"/>
      </w:pPr>
      <w:r>
        <w:separator/>
      </w:r>
    </w:p>
  </w:endnote>
  <w:endnote w:type="continuationSeparator" w:id="0">
    <w:p w:rsidR="00EC5BDA" w:rsidRDefault="00EC5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0" w:rsidRPr="005D74E9" w:rsidRDefault="00F34667">
    <w:pPr>
      <w:tabs>
        <w:tab w:val="center" w:pos="4680"/>
        <w:tab w:val="right" w:pos="9360"/>
      </w:tabs>
      <w:spacing w:line="240" w:lineRule="auto"/>
      <w:rPr>
        <w:sz w:val="20"/>
        <w:szCs w:val="20"/>
      </w:rPr>
    </w:pPr>
    <w:r>
      <w:rPr>
        <w:sz w:val="20"/>
        <w:szCs w:val="20"/>
      </w:rPr>
      <w:t>March 2019</w:t>
    </w:r>
    <w:r w:rsidR="00B509F0" w:rsidRPr="005D74E9">
      <w:rPr>
        <w:sz w:val="20"/>
        <w:szCs w:val="20"/>
      </w:rPr>
      <w:tab/>
    </w:r>
    <w:r w:rsidR="00B509F0" w:rsidRPr="005D74E9">
      <w:rPr>
        <w:sz w:val="20"/>
        <w:szCs w:val="20"/>
      </w:rPr>
      <w:tab/>
    </w:r>
    <w:r w:rsidR="00B509F0" w:rsidRPr="005D74E9">
      <w:rPr>
        <w:sz w:val="20"/>
        <w:szCs w:val="20"/>
      </w:rPr>
      <w:tab/>
    </w:r>
    <w:r w:rsidR="005D74E9" w:rsidRPr="005D74E9">
      <w:rPr>
        <w:sz w:val="20"/>
        <w:szCs w:val="20"/>
      </w:rPr>
      <w:tab/>
    </w:r>
    <w:r w:rsidR="005D74E9" w:rsidRPr="005D74E9">
      <w:rPr>
        <w:sz w:val="20"/>
        <w:szCs w:val="20"/>
      </w:rPr>
      <w:tab/>
    </w:r>
    <w:r w:rsidR="005D74E9" w:rsidRPr="005D74E9">
      <w:rPr>
        <w:sz w:val="20"/>
        <w:szCs w:val="20"/>
      </w:rPr>
      <w:tab/>
    </w:r>
    <w:r w:rsidR="005D74E9" w:rsidRPr="005D74E9">
      <w:rPr>
        <w:sz w:val="20"/>
        <w:szCs w:val="20"/>
      </w:rPr>
      <w:tab/>
      <w:t xml:space="preserve">Page </w:t>
    </w:r>
    <w:r w:rsidR="005D74E9" w:rsidRPr="005D74E9">
      <w:rPr>
        <w:bCs/>
        <w:sz w:val="20"/>
        <w:szCs w:val="20"/>
      </w:rPr>
      <w:fldChar w:fldCharType="begin"/>
    </w:r>
    <w:r w:rsidR="005D74E9" w:rsidRPr="005D74E9">
      <w:rPr>
        <w:bCs/>
        <w:sz w:val="20"/>
        <w:szCs w:val="20"/>
      </w:rPr>
      <w:instrText xml:space="preserve"> PAGE  \* Arabic  \* MERGEFORMAT </w:instrText>
    </w:r>
    <w:r w:rsidR="005D74E9" w:rsidRPr="005D74E9">
      <w:rPr>
        <w:bCs/>
        <w:sz w:val="20"/>
        <w:szCs w:val="20"/>
      </w:rPr>
      <w:fldChar w:fldCharType="separate"/>
    </w:r>
    <w:r w:rsidR="008648B7">
      <w:rPr>
        <w:bCs/>
        <w:noProof/>
        <w:sz w:val="20"/>
        <w:szCs w:val="20"/>
      </w:rPr>
      <w:t>5</w:t>
    </w:r>
    <w:r w:rsidR="005D74E9" w:rsidRPr="005D74E9">
      <w:rPr>
        <w:bCs/>
        <w:sz w:val="20"/>
        <w:szCs w:val="20"/>
      </w:rPr>
      <w:fldChar w:fldCharType="end"/>
    </w:r>
    <w:r w:rsidR="005D74E9" w:rsidRPr="005D74E9">
      <w:rPr>
        <w:sz w:val="20"/>
        <w:szCs w:val="20"/>
      </w:rPr>
      <w:t xml:space="preserve"> of </w:t>
    </w:r>
    <w:r w:rsidR="005D74E9" w:rsidRPr="005D74E9">
      <w:rPr>
        <w:bCs/>
        <w:sz w:val="20"/>
        <w:szCs w:val="20"/>
      </w:rPr>
      <w:fldChar w:fldCharType="begin"/>
    </w:r>
    <w:r w:rsidR="005D74E9" w:rsidRPr="005D74E9">
      <w:rPr>
        <w:bCs/>
        <w:sz w:val="20"/>
        <w:szCs w:val="20"/>
      </w:rPr>
      <w:instrText xml:space="preserve"> NUMPAGES  \* Arabic  \* MERGEFORMAT </w:instrText>
    </w:r>
    <w:r w:rsidR="005D74E9" w:rsidRPr="005D74E9">
      <w:rPr>
        <w:bCs/>
        <w:sz w:val="20"/>
        <w:szCs w:val="20"/>
      </w:rPr>
      <w:fldChar w:fldCharType="separate"/>
    </w:r>
    <w:r w:rsidR="008648B7">
      <w:rPr>
        <w:bCs/>
        <w:noProof/>
        <w:sz w:val="20"/>
        <w:szCs w:val="20"/>
      </w:rPr>
      <w:t>6</w:t>
    </w:r>
    <w:r w:rsidR="005D74E9" w:rsidRPr="005D74E9">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DA" w:rsidRDefault="00EC5BDA">
      <w:pPr>
        <w:spacing w:line="240" w:lineRule="auto"/>
      </w:pPr>
      <w:r>
        <w:separator/>
      </w:r>
    </w:p>
  </w:footnote>
  <w:footnote w:type="continuationSeparator" w:id="0">
    <w:p w:rsidR="00EC5BDA" w:rsidRDefault="00EC5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0" w:rsidRDefault="005D74E9">
    <w:pPr>
      <w:tabs>
        <w:tab w:val="center" w:pos="4680"/>
        <w:tab w:val="right" w:pos="9360"/>
      </w:tabs>
      <w:spacing w:line="240" w:lineRule="auto"/>
    </w:pPr>
    <w:r>
      <w:rPr>
        <w:noProof/>
        <w:lang w:val="en-US"/>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194310</wp:posOffset>
          </wp:positionV>
          <wp:extent cx="781050" cy="383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Logo2018CYM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383540"/>
                  </a:xfrm>
                  <a:prstGeom prst="rect">
                    <a:avLst/>
                  </a:prstGeom>
                </pic:spPr>
              </pic:pic>
            </a:graphicData>
          </a:graphic>
          <wp14:sizeRelH relativeFrom="page">
            <wp14:pctWidth>0</wp14:pctWidth>
          </wp14:sizeRelH>
          <wp14:sizeRelV relativeFrom="page">
            <wp14:pctHeight>0</wp14:pctHeight>
          </wp14:sizeRelV>
        </wp:anchor>
      </w:drawing>
    </w:r>
  </w:p>
  <w:p w:rsidR="00B509F0" w:rsidRDefault="00B509F0">
    <w:pPr>
      <w:tabs>
        <w:tab w:val="center" w:pos="4680"/>
        <w:tab w:val="right" w:pos="9360"/>
      </w:tabs>
      <w:spacing w:line="240" w:lineRule="auto"/>
    </w:pPr>
  </w:p>
  <w:p w:rsidR="00B509F0" w:rsidRDefault="005D74E9">
    <w:pPr>
      <w:tabs>
        <w:tab w:val="center" w:pos="4680"/>
        <w:tab w:val="right" w:pos="9360"/>
      </w:tabs>
      <w:spacing w:line="240" w:lineRule="auto"/>
    </w:pPr>
    <w:r>
      <w:t xml:space="preserve"> </w:t>
    </w:r>
    <w:r w:rsidR="00B509F0">
      <w:t>English Languag</w:t>
    </w:r>
    <w:r>
      <w:t>e Arts Curriculum Vetting Rubric</w:t>
    </w:r>
    <w:r w:rsidR="00B509F0">
      <w:tab/>
    </w:r>
    <w:r w:rsidR="00B509F0">
      <w:tab/>
    </w:r>
    <w:r>
      <w:tab/>
    </w:r>
    <w:r w:rsidR="00771C02">
      <w:t xml:space="preserve">                                 Grade 2</w:t>
    </w:r>
    <w:r w:rsidR="00B509F0">
      <w:tab/>
    </w:r>
    <w:r w:rsidR="00B509F0">
      <w:tab/>
    </w:r>
    <w:r w:rsidR="00B509F0">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F91"/>
    <w:multiLevelType w:val="hybridMultilevel"/>
    <w:tmpl w:val="FB80155A"/>
    <w:lvl w:ilvl="0" w:tplc="854AD1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937"/>
    <w:multiLevelType w:val="multilevel"/>
    <w:tmpl w:val="87205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032772"/>
    <w:multiLevelType w:val="multilevel"/>
    <w:tmpl w:val="EFF8B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C92DCF"/>
    <w:multiLevelType w:val="multilevel"/>
    <w:tmpl w:val="177AE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FA0D1B"/>
    <w:multiLevelType w:val="multilevel"/>
    <w:tmpl w:val="CEFC2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B22262"/>
    <w:multiLevelType w:val="hybridMultilevel"/>
    <w:tmpl w:val="8E280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21C6E"/>
    <w:multiLevelType w:val="hybridMultilevel"/>
    <w:tmpl w:val="08CE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70B5F"/>
    <w:multiLevelType w:val="multilevel"/>
    <w:tmpl w:val="E82C7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526DF6"/>
    <w:multiLevelType w:val="hybridMultilevel"/>
    <w:tmpl w:val="731A399A"/>
    <w:lvl w:ilvl="0" w:tplc="854AD1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7"/>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7F"/>
    <w:rsid w:val="00047460"/>
    <w:rsid w:val="000810E1"/>
    <w:rsid w:val="000E4190"/>
    <w:rsid w:val="001C03BB"/>
    <w:rsid w:val="00207F8B"/>
    <w:rsid w:val="00272275"/>
    <w:rsid w:val="002A4E83"/>
    <w:rsid w:val="00375B18"/>
    <w:rsid w:val="00387AD9"/>
    <w:rsid w:val="00417A7F"/>
    <w:rsid w:val="00472DCF"/>
    <w:rsid w:val="004F4372"/>
    <w:rsid w:val="004F7362"/>
    <w:rsid w:val="00515825"/>
    <w:rsid w:val="00570074"/>
    <w:rsid w:val="005700F8"/>
    <w:rsid w:val="005D74E9"/>
    <w:rsid w:val="00716709"/>
    <w:rsid w:val="00757208"/>
    <w:rsid w:val="00764706"/>
    <w:rsid w:val="00771C02"/>
    <w:rsid w:val="00786C1D"/>
    <w:rsid w:val="007E6022"/>
    <w:rsid w:val="00811FD5"/>
    <w:rsid w:val="008633E4"/>
    <w:rsid w:val="008648B7"/>
    <w:rsid w:val="00880C00"/>
    <w:rsid w:val="008E3241"/>
    <w:rsid w:val="00924D5E"/>
    <w:rsid w:val="00982D13"/>
    <w:rsid w:val="009C7A8E"/>
    <w:rsid w:val="009D0A49"/>
    <w:rsid w:val="009E0BB7"/>
    <w:rsid w:val="00A528A0"/>
    <w:rsid w:val="00B016DA"/>
    <w:rsid w:val="00B34386"/>
    <w:rsid w:val="00B509F0"/>
    <w:rsid w:val="00B75878"/>
    <w:rsid w:val="00B77F18"/>
    <w:rsid w:val="00B82BDF"/>
    <w:rsid w:val="00BB672F"/>
    <w:rsid w:val="00CA6B20"/>
    <w:rsid w:val="00CB1222"/>
    <w:rsid w:val="00CC3265"/>
    <w:rsid w:val="00D00DAE"/>
    <w:rsid w:val="00D11530"/>
    <w:rsid w:val="00D12CAD"/>
    <w:rsid w:val="00D4201C"/>
    <w:rsid w:val="00D47A6C"/>
    <w:rsid w:val="00DA2312"/>
    <w:rsid w:val="00DB33E3"/>
    <w:rsid w:val="00DF4DD5"/>
    <w:rsid w:val="00E059EE"/>
    <w:rsid w:val="00E45EAB"/>
    <w:rsid w:val="00E6166F"/>
    <w:rsid w:val="00E8738F"/>
    <w:rsid w:val="00EC5BDA"/>
    <w:rsid w:val="00F34667"/>
    <w:rsid w:val="00F9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67786"/>
  <w15:docId w15:val="{C646746C-3D42-4C0A-8E1E-25F48467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47A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6C"/>
    <w:rPr>
      <w:rFonts w:ascii="Tahoma" w:hAnsi="Tahoma" w:cs="Tahoma"/>
      <w:sz w:val="16"/>
      <w:szCs w:val="16"/>
    </w:rPr>
  </w:style>
  <w:style w:type="paragraph" w:styleId="Header">
    <w:name w:val="header"/>
    <w:basedOn w:val="Normal"/>
    <w:link w:val="HeaderChar"/>
    <w:uiPriority w:val="99"/>
    <w:unhideWhenUsed/>
    <w:rsid w:val="00D47A6C"/>
    <w:pPr>
      <w:tabs>
        <w:tab w:val="center" w:pos="4680"/>
        <w:tab w:val="right" w:pos="9360"/>
      </w:tabs>
      <w:spacing w:line="240" w:lineRule="auto"/>
    </w:pPr>
  </w:style>
  <w:style w:type="character" w:customStyle="1" w:styleId="HeaderChar">
    <w:name w:val="Header Char"/>
    <w:basedOn w:val="DefaultParagraphFont"/>
    <w:link w:val="Header"/>
    <w:uiPriority w:val="99"/>
    <w:rsid w:val="00D47A6C"/>
  </w:style>
  <w:style w:type="paragraph" w:styleId="Footer">
    <w:name w:val="footer"/>
    <w:basedOn w:val="Normal"/>
    <w:link w:val="FooterChar"/>
    <w:uiPriority w:val="99"/>
    <w:unhideWhenUsed/>
    <w:rsid w:val="00D47A6C"/>
    <w:pPr>
      <w:tabs>
        <w:tab w:val="center" w:pos="4680"/>
        <w:tab w:val="right" w:pos="9360"/>
      </w:tabs>
      <w:spacing w:line="240" w:lineRule="auto"/>
    </w:pPr>
  </w:style>
  <w:style w:type="character" w:customStyle="1" w:styleId="FooterChar">
    <w:name w:val="Footer Char"/>
    <w:basedOn w:val="DefaultParagraphFont"/>
    <w:link w:val="Footer"/>
    <w:uiPriority w:val="99"/>
    <w:rsid w:val="00D47A6C"/>
  </w:style>
  <w:style w:type="paragraph" w:styleId="ListParagraph">
    <w:name w:val="List Paragraph"/>
    <w:basedOn w:val="Normal"/>
    <w:uiPriority w:val="34"/>
    <w:qFormat/>
    <w:rsid w:val="005D74E9"/>
    <w:pPr>
      <w:ind w:left="720"/>
      <w:contextualSpacing/>
    </w:pPr>
  </w:style>
  <w:style w:type="character" w:styleId="Hyperlink">
    <w:name w:val="Hyperlink"/>
    <w:basedOn w:val="DefaultParagraphFont"/>
    <w:uiPriority w:val="99"/>
    <w:unhideWhenUsed/>
    <w:rsid w:val="005D74E9"/>
    <w:rPr>
      <w:color w:val="0000FF" w:themeColor="hyperlink"/>
      <w:u w:val="single"/>
    </w:rPr>
  </w:style>
  <w:style w:type="paragraph" w:styleId="NoSpacing">
    <w:name w:val="No Spacing"/>
    <w:link w:val="NoSpacingChar"/>
    <w:uiPriority w:val="1"/>
    <w:qFormat/>
    <w:rsid w:val="00387AD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387AD9"/>
    <w:rPr>
      <w:rFonts w:asciiTheme="minorHAnsi" w:eastAsiaTheme="minorEastAsia" w:hAnsiTheme="minorHAnsi" w:cstheme="minorBidi"/>
      <w:color w:val="auto"/>
      <w:lang w:val="en-US"/>
    </w:rPr>
  </w:style>
  <w:style w:type="character" w:customStyle="1" w:styleId="UnresolvedMention">
    <w:name w:val="Unresolved Mention"/>
    <w:basedOn w:val="DefaultParagraphFont"/>
    <w:uiPriority w:val="99"/>
    <w:semiHidden/>
    <w:unhideWhenUsed/>
    <w:rsid w:val="00515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arylandpublicschools.org/about/Pages/OTPE/index.aspx" TargetMode="External"/><Relationship Id="rId18" Type="http://schemas.openxmlformats.org/officeDocument/2006/relationships/hyperlink" Target="https://www.achieve.org/our-initiatives/equip/equip" TargetMode="External"/><Relationship Id="rId26" Type="http://schemas.openxmlformats.org/officeDocument/2006/relationships/hyperlink" Target="https://parcc-assessment.org/content/uploads/2017/11/PARCCMCFELALiteracyAugust2012_FINAL.pdf" TargetMode="External"/><Relationship Id="rId3" Type="http://schemas.openxmlformats.org/officeDocument/2006/relationships/settings" Target="settings.xml"/><Relationship Id="rId21" Type="http://schemas.openxmlformats.org/officeDocument/2006/relationships/hyperlink" Target="https://www.marylandresourcehub.com/evidence-based-curriculum-review" TargetMode="External"/><Relationship Id="rId7" Type="http://schemas.openxmlformats.org/officeDocument/2006/relationships/image" Target="media/image1.png"/><Relationship Id="rId12" Type="http://schemas.openxmlformats.org/officeDocument/2006/relationships/hyperlink" Target="http://marylandpublicschools.org/about/Pages/DCAA/Math/index.aspx" TargetMode="External"/><Relationship Id="rId17" Type="http://schemas.openxmlformats.org/officeDocument/2006/relationships/hyperlink" Target="https://www.cgcs.org/cms/lib/DC00001581/Centricity/Domain/4/Curriculum%20Framework%20First%20Edition%20Final.pdf" TargetMode="External"/><Relationship Id="rId25" Type="http://schemas.openxmlformats.org/officeDocument/2006/relationships/hyperlink" Target="https://www.cgcs.org/cms/lib/DC00001581/Centricity/Domain/72/ELA_Rubric_Grades%209-10.pdf" TargetMode="External"/><Relationship Id="rId2" Type="http://schemas.openxmlformats.org/officeDocument/2006/relationships/styles" Target="styles.xml"/><Relationship Id="rId16" Type="http://schemas.openxmlformats.org/officeDocument/2006/relationships/hyperlink" Target="http://mdk12.msde.maryland.gov/instruction/commoncore/" TargetMode="External"/><Relationship Id="rId20" Type="http://schemas.openxmlformats.org/officeDocument/2006/relationships/hyperlink" Target="https://www.cgcs.org/cms/lib/DC00001581/Centricity/Domain/4/Curriculum%20Framework%20First%20Edition%20Final.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ylandpublicschools.org/about/Pages/OTPE/index.aspx" TargetMode="External"/><Relationship Id="rId24" Type="http://schemas.openxmlformats.org/officeDocument/2006/relationships/hyperlink" Target="https://www.achieve.org/files/EQuIP-ELArubric-06-24-13-FINAL.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d.state.md.us/COMAR/SubtitleSearch.aspx?search=13A.04.14.*" TargetMode="External"/><Relationship Id="rId23" Type="http://schemas.openxmlformats.org/officeDocument/2006/relationships/hyperlink" Target="http://www.corestandards.org/other-resources/key-shifts-in-english-language-arts/" TargetMode="External"/><Relationship Id="rId28" Type="http://schemas.openxmlformats.org/officeDocument/2006/relationships/hyperlink" Target="http://mdk12.msde.maryland.gov/instruction/curriculum/reading/includes/AdditionalFiles/Vertical%20Progressions%20-%20Reading%20Informational%20Texts.pdf" TargetMode="External"/><Relationship Id="rId10" Type="http://schemas.openxmlformats.org/officeDocument/2006/relationships/hyperlink" Target="http://marylandpublicschools.org/about/Pages/DCAA/Math/index.aspx" TargetMode="External"/><Relationship Id="rId19" Type="http://schemas.openxmlformats.org/officeDocument/2006/relationships/hyperlink" Target="https://achievethecore.org/page/1096/grade-level-instructional-materials-evaluation-tool-quality-review-gimet-q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arylandresourcehub.com/curriculum-vetting-resources" TargetMode="External"/><Relationship Id="rId22" Type="http://schemas.openxmlformats.org/officeDocument/2006/relationships/hyperlink" Target="http://mdk12.msde.maryland.gov/instruction/curriculum/reading/index.html" TargetMode="External"/><Relationship Id="rId27" Type="http://schemas.openxmlformats.org/officeDocument/2006/relationships/hyperlink" Target="http://www.corestandards.org/assets/Appendix_A.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English LANGUAGE arts</vt:lpstr>
    </vt:vector>
  </TitlesOfParts>
  <Company>MSDE</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dc:title>
  <dc:subject>Second Grade Curriculum Vetting Rubric</dc:subject>
  <dc:creator>Laura Liccione</dc:creator>
  <cp:lastModifiedBy>Windows User</cp:lastModifiedBy>
  <cp:revision>3</cp:revision>
  <cp:lastPrinted>2018-03-10T17:53:00Z</cp:lastPrinted>
  <dcterms:created xsi:type="dcterms:W3CDTF">2019-04-10T01:36:00Z</dcterms:created>
  <dcterms:modified xsi:type="dcterms:W3CDTF">2019-04-12T17:32:00Z</dcterms:modified>
</cp:coreProperties>
</file>